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Layout w:type="fixed"/>
        <w:tblLook w:val="04A0" w:firstRow="1" w:lastRow="0" w:firstColumn="1" w:lastColumn="0" w:noHBand="0" w:noVBand="1"/>
      </w:tblPr>
      <w:tblGrid>
        <w:gridCol w:w="2155"/>
        <w:gridCol w:w="5500"/>
        <w:gridCol w:w="1559"/>
      </w:tblGrid>
      <w:tr w:rsidR="00560668" w:rsidRPr="00BC2E04" w14:paraId="3A7B7EAD" w14:textId="77777777" w:rsidTr="003E6C5A">
        <w:tc>
          <w:tcPr>
            <w:tcW w:w="2155" w:type="dxa"/>
            <w:tcBorders>
              <w:top w:val="nil"/>
              <w:left w:val="nil"/>
              <w:bottom w:val="nil"/>
              <w:right w:val="nil"/>
            </w:tcBorders>
          </w:tcPr>
          <w:p w14:paraId="3C5F0480" w14:textId="26E1DE98" w:rsidR="0071221C" w:rsidRPr="00BC2E04" w:rsidRDefault="00560668" w:rsidP="00EA55D1">
            <w:pPr>
              <w:spacing w:line="360" w:lineRule="auto"/>
            </w:pPr>
            <w:r>
              <w:t xml:space="preserve"> </w:t>
            </w:r>
            <w:r w:rsidR="00A3614C" w:rsidRPr="00BC2E04">
              <w:rPr>
                <w:rFonts w:ascii="Arial" w:hAnsi="Arial" w:cs="Arial"/>
                <w:b/>
                <w:noProof/>
                <w:lang w:eastAsia="zh-CN"/>
              </w:rPr>
              <w:drawing>
                <wp:inline distT="0" distB="0" distL="0" distR="0" wp14:anchorId="2875F37B" wp14:editId="6759BC75">
                  <wp:extent cx="1028700" cy="83081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271" cy="847426"/>
                          </a:xfrm>
                          <a:prstGeom prst="rect">
                            <a:avLst/>
                          </a:prstGeom>
                          <a:noFill/>
                          <a:ln>
                            <a:noFill/>
                          </a:ln>
                        </pic:spPr>
                      </pic:pic>
                    </a:graphicData>
                  </a:graphic>
                </wp:inline>
              </w:drawing>
            </w:r>
          </w:p>
        </w:tc>
        <w:tc>
          <w:tcPr>
            <w:tcW w:w="5500" w:type="dxa"/>
            <w:tcBorders>
              <w:top w:val="nil"/>
              <w:left w:val="nil"/>
              <w:bottom w:val="nil"/>
              <w:right w:val="nil"/>
            </w:tcBorders>
          </w:tcPr>
          <w:p w14:paraId="243C7107" w14:textId="77777777" w:rsidR="005D3012" w:rsidRPr="00BC2E04" w:rsidRDefault="005D3012" w:rsidP="00EA55D1">
            <w:pPr>
              <w:autoSpaceDE w:val="0"/>
              <w:autoSpaceDN w:val="0"/>
              <w:adjustRightInd w:val="0"/>
              <w:spacing w:line="360" w:lineRule="auto"/>
              <w:jc w:val="center"/>
              <w:rPr>
                <w:rFonts w:ascii="Arial" w:hAnsi="Arial" w:cs="Arial"/>
                <w:b/>
                <w:bCs/>
              </w:rPr>
            </w:pPr>
          </w:p>
          <w:p w14:paraId="5D7EF2B1" w14:textId="0B5F652C" w:rsidR="005D3012" w:rsidRPr="009A2B14" w:rsidRDefault="009A2B14" w:rsidP="00EA55D1">
            <w:pPr>
              <w:autoSpaceDE w:val="0"/>
              <w:autoSpaceDN w:val="0"/>
              <w:adjustRightInd w:val="0"/>
              <w:jc w:val="center"/>
              <w:rPr>
                <w:rFonts w:ascii="Arial" w:hAnsi="Arial" w:cs="Arial"/>
                <w:b/>
                <w:bCs/>
                <w:sz w:val="20"/>
                <w:szCs w:val="20"/>
              </w:rPr>
            </w:pPr>
            <w:r w:rsidRPr="009A2B14">
              <w:rPr>
                <w:rFonts w:ascii="Arial" w:hAnsi="Arial" w:cs="Arial"/>
                <w:b/>
                <w:bCs/>
                <w:sz w:val="20"/>
                <w:szCs w:val="20"/>
              </w:rPr>
              <w:t xml:space="preserve">JABATAN PENILAIAN DAN PERKHIDMATAN HARTA </w:t>
            </w:r>
          </w:p>
          <w:p w14:paraId="156A9271" w14:textId="0799EB6F" w:rsidR="00911025" w:rsidRPr="00BC2E04" w:rsidRDefault="009A2B14" w:rsidP="00EA55D1">
            <w:pPr>
              <w:autoSpaceDE w:val="0"/>
              <w:autoSpaceDN w:val="0"/>
              <w:adjustRightInd w:val="0"/>
              <w:jc w:val="center"/>
              <w:rPr>
                <w:rFonts w:ascii="Arial" w:hAnsi="Arial" w:cs="Arial"/>
                <w:b/>
                <w:bCs/>
                <w:sz w:val="24"/>
                <w:szCs w:val="24"/>
              </w:rPr>
            </w:pPr>
            <w:r w:rsidRPr="009A2B14">
              <w:rPr>
                <w:rFonts w:ascii="Arial" w:hAnsi="Arial" w:cs="Arial"/>
                <w:b/>
                <w:bCs/>
                <w:sz w:val="20"/>
                <w:szCs w:val="20"/>
              </w:rPr>
              <w:t>KEMENTERIAN KEWANGAN MALAYSIA</w:t>
            </w:r>
          </w:p>
          <w:p w14:paraId="6A3152AE" w14:textId="77777777" w:rsidR="0071221C" w:rsidRPr="00BC2E04" w:rsidRDefault="0071221C" w:rsidP="00EA55D1">
            <w:pPr>
              <w:spacing w:line="360" w:lineRule="auto"/>
            </w:pPr>
          </w:p>
        </w:tc>
        <w:tc>
          <w:tcPr>
            <w:tcW w:w="1559" w:type="dxa"/>
            <w:tcBorders>
              <w:top w:val="nil"/>
              <w:left w:val="nil"/>
              <w:bottom w:val="nil"/>
              <w:right w:val="nil"/>
            </w:tcBorders>
          </w:tcPr>
          <w:p w14:paraId="013DCA03" w14:textId="41BE249E" w:rsidR="0071221C" w:rsidRPr="00BC2E04" w:rsidRDefault="00BC3635" w:rsidP="00EA55D1">
            <w:pPr>
              <w:spacing w:line="360" w:lineRule="auto"/>
            </w:pPr>
            <w:r w:rsidRPr="00BC2E04">
              <w:rPr>
                <w:noProof/>
                <w:lang w:eastAsia="zh-CN"/>
              </w:rPr>
              <w:drawing>
                <wp:inline distT="0" distB="0" distL="0" distR="0" wp14:anchorId="069A71B5" wp14:editId="085F0E8E">
                  <wp:extent cx="852805" cy="8553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805" cy="855345"/>
                          </a:xfrm>
                          <a:prstGeom prst="rect">
                            <a:avLst/>
                          </a:prstGeom>
                          <a:noFill/>
                          <a:ln>
                            <a:noFill/>
                          </a:ln>
                        </pic:spPr>
                      </pic:pic>
                    </a:graphicData>
                  </a:graphic>
                </wp:inline>
              </w:drawing>
            </w:r>
          </w:p>
        </w:tc>
      </w:tr>
    </w:tbl>
    <w:p w14:paraId="6FE2BA09" w14:textId="77777777" w:rsidR="00425F95" w:rsidRDefault="00425F95" w:rsidP="00425F95">
      <w:pPr>
        <w:spacing w:line="240" w:lineRule="auto"/>
        <w:ind w:left="5040" w:right="136"/>
        <w:jc w:val="both"/>
        <w:rPr>
          <w:rFonts w:ascii="Arial" w:hAnsi="Arial" w:cs="Arial"/>
          <w:b/>
          <w:color w:val="FF0000"/>
          <w:sz w:val="21"/>
          <w:szCs w:val="21"/>
        </w:rPr>
      </w:pPr>
    </w:p>
    <w:p w14:paraId="20E7C7A7" w14:textId="1705B875" w:rsidR="00425F95" w:rsidRPr="0031634E" w:rsidRDefault="0071221C" w:rsidP="00A46833">
      <w:pPr>
        <w:spacing w:line="240" w:lineRule="auto"/>
        <w:ind w:left="5040" w:right="136"/>
        <w:jc w:val="both"/>
        <w:rPr>
          <w:rFonts w:ascii="Arial" w:hAnsi="Arial" w:cs="Arial"/>
          <w:b/>
          <w:caps/>
          <w:color w:val="FF0000"/>
          <w:lang w:val="ms-MY"/>
        </w:rPr>
      </w:pPr>
      <w:r w:rsidRPr="0031634E">
        <w:rPr>
          <w:rFonts w:ascii="Arial" w:hAnsi="Arial" w:cs="Arial"/>
          <w:b/>
          <w:color w:val="FF0000"/>
          <w:sz w:val="21"/>
          <w:szCs w:val="21"/>
        </w:rPr>
        <w:t xml:space="preserve">EMBARGO: </w:t>
      </w:r>
      <w:proofErr w:type="spellStart"/>
      <w:r w:rsidR="00A46833" w:rsidRPr="0031634E">
        <w:rPr>
          <w:rFonts w:ascii="Arial" w:hAnsi="Arial" w:cs="Arial"/>
          <w:b/>
          <w:color w:val="FF0000"/>
          <w:sz w:val="21"/>
          <w:szCs w:val="21"/>
        </w:rPr>
        <w:t>Tidak</w:t>
      </w:r>
      <w:proofErr w:type="spellEnd"/>
      <w:r w:rsidR="00A46833" w:rsidRPr="0031634E">
        <w:rPr>
          <w:rFonts w:ascii="Arial" w:hAnsi="Arial" w:cs="Arial"/>
          <w:b/>
          <w:color w:val="FF0000"/>
          <w:sz w:val="21"/>
          <w:szCs w:val="21"/>
        </w:rPr>
        <w:t xml:space="preserve"> </w:t>
      </w:r>
      <w:proofErr w:type="spellStart"/>
      <w:r w:rsidR="000D39C8" w:rsidRPr="0031634E">
        <w:rPr>
          <w:rFonts w:ascii="Arial" w:hAnsi="Arial" w:cs="Arial"/>
          <w:b/>
          <w:color w:val="FF0000"/>
          <w:sz w:val="21"/>
          <w:szCs w:val="21"/>
        </w:rPr>
        <w:t>dibenarkan</w:t>
      </w:r>
      <w:proofErr w:type="spellEnd"/>
      <w:r w:rsidR="000D39C8" w:rsidRPr="0031634E">
        <w:rPr>
          <w:rFonts w:ascii="Arial" w:hAnsi="Arial" w:cs="Arial"/>
          <w:b/>
          <w:color w:val="FF0000"/>
          <w:sz w:val="21"/>
          <w:szCs w:val="21"/>
        </w:rPr>
        <w:t xml:space="preserve"> </w:t>
      </w:r>
      <w:proofErr w:type="spellStart"/>
      <w:r w:rsidR="00A46833" w:rsidRPr="0031634E">
        <w:rPr>
          <w:rFonts w:ascii="Arial" w:hAnsi="Arial" w:cs="Arial"/>
          <w:b/>
          <w:color w:val="FF0000"/>
          <w:sz w:val="21"/>
          <w:szCs w:val="21"/>
        </w:rPr>
        <w:t>untuk</w:t>
      </w:r>
      <w:proofErr w:type="spellEnd"/>
      <w:r w:rsidR="00A46833" w:rsidRPr="0031634E">
        <w:rPr>
          <w:rFonts w:ascii="Arial" w:hAnsi="Arial" w:cs="Arial"/>
          <w:b/>
          <w:color w:val="FF0000"/>
          <w:sz w:val="21"/>
          <w:szCs w:val="21"/>
        </w:rPr>
        <w:t xml:space="preserve"> </w:t>
      </w:r>
      <w:proofErr w:type="spellStart"/>
      <w:r w:rsidR="00A46833" w:rsidRPr="0031634E">
        <w:rPr>
          <w:rFonts w:ascii="Arial" w:hAnsi="Arial" w:cs="Arial"/>
          <w:b/>
          <w:color w:val="FF0000"/>
          <w:sz w:val="21"/>
          <w:szCs w:val="21"/>
        </w:rPr>
        <w:t>diterbitkan</w:t>
      </w:r>
      <w:proofErr w:type="spellEnd"/>
      <w:r w:rsidR="00A46833" w:rsidRPr="0031634E">
        <w:rPr>
          <w:rFonts w:ascii="Arial" w:hAnsi="Arial" w:cs="Arial"/>
          <w:b/>
          <w:color w:val="FF0000"/>
          <w:sz w:val="21"/>
          <w:szCs w:val="21"/>
        </w:rPr>
        <w:t xml:space="preserve"> </w:t>
      </w:r>
      <w:proofErr w:type="spellStart"/>
      <w:r w:rsidR="00A46833" w:rsidRPr="0031634E">
        <w:rPr>
          <w:rFonts w:ascii="Arial" w:hAnsi="Arial" w:cs="Arial"/>
          <w:b/>
          <w:color w:val="FF0000"/>
          <w:sz w:val="21"/>
          <w:szCs w:val="21"/>
        </w:rPr>
        <w:t>atau</w:t>
      </w:r>
      <w:proofErr w:type="spellEnd"/>
      <w:r w:rsidR="00A46833" w:rsidRPr="0031634E">
        <w:rPr>
          <w:rFonts w:ascii="Arial" w:hAnsi="Arial" w:cs="Arial"/>
          <w:b/>
          <w:color w:val="FF0000"/>
          <w:sz w:val="21"/>
          <w:szCs w:val="21"/>
        </w:rPr>
        <w:t xml:space="preserve"> </w:t>
      </w:r>
      <w:proofErr w:type="spellStart"/>
      <w:r w:rsidR="00A46833" w:rsidRPr="0031634E">
        <w:rPr>
          <w:rFonts w:ascii="Arial" w:hAnsi="Arial" w:cs="Arial"/>
          <w:b/>
          <w:color w:val="FF0000"/>
          <w:sz w:val="21"/>
          <w:szCs w:val="21"/>
        </w:rPr>
        <w:t>disiarkan</w:t>
      </w:r>
      <w:proofErr w:type="spellEnd"/>
      <w:r w:rsidR="00A46833" w:rsidRPr="0031634E">
        <w:rPr>
          <w:rFonts w:ascii="Arial" w:hAnsi="Arial" w:cs="Arial"/>
          <w:b/>
          <w:color w:val="FF0000"/>
          <w:sz w:val="21"/>
          <w:szCs w:val="21"/>
        </w:rPr>
        <w:t xml:space="preserve"> </w:t>
      </w:r>
      <w:proofErr w:type="spellStart"/>
      <w:r w:rsidR="00A46833" w:rsidRPr="0031634E">
        <w:rPr>
          <w:rFonts w:ascii="Arial" w:hAnsi="Arial" w:cs="Arial"/>
          <w:b/>
          <w:color w:val="FF0000"/>
          <w:sz w:val="21"/>
          <w:szCs w:val="21"/>
        </w:rPr>
        <w:t>sebelum</w:t>
      </w:r>
      <w:proofErr w:type="spellEnd"/>
      <w:r w:rsidR="00A46833" w:rsidRPr="0031634E">
        <w:rPr>
          <w:rFonts w:ascii="Arial" w:hAnsi="Arial" w:cs="Arial"/>
          <w:b/>
          <w:color w:val="FF0000"/>
          <w:sz w:val="21"/>
          <w:szCs w:val="21"/>
        </w:rPr>
        <w:t xml:space="preserve"> </w:t>
      </w:r>
      <w:r w:rsidR="00773A66">
        <w:rPr>
          <w:rFonts w:ascii="Arial" w:hAnsi="Arial" w:cs="Arial"/>
          <w:b/>
          <w:color w:val="FF0000"/>
          <w:sz w:val="21"/>
          <w:szCs w:val="21"/>
        </w:rPr>
        <w:t>3.00</w:t>
      </w:r>
      <w:r w:rsidR="00A46833" w:rsidRPr="0031634E">
        <w:rPr>
          <w:rFonts w:ascii="Arial" w:hAnsi="Arial" w:cs="Arial"/>
          <w:b/>
          <w:color w:val="FF0000"/>
          <w:sz w:val="21"/>
          <w:szCs w:val="21"/>
        </w:rPr>
        <w:t xml:space="preserve"> </w:t>
      </w:r>
      <w:proofErr w:type="spellStart"/>
      <w:r w:rsidR="00773A66">
        <w:rPr>
          <w:rFonts w:ascii="Arial" w:hAnsi="Arial" w:cs="Arial"/>
          <w:b/>
          <w:color w:val="FF0000"/>
          <w:sz w:val="21"/>
          <w:szCs w:val="21"/>
        </w:rPr>
        <w:t>petang</w:t>
      </w:r>
      <w:proofErr w:type="spellEnd"/>
      <w:r w:rsidR="00A46833" w:rsidRPr="0031634E">
        <w:rPr>
          <w:rFonts w:ascii="Arial" w:hAnsi="Arial" w:cs="Arial"/>
          <w:b/>
          <w:color w:val="FF0000"/>
          <w:sz w:val="21"/>
          <w:szCs w:val="21"/>
        </w:rPr>
        <w:t xml:space="preserve"> pada </w:t>
      </w:r>
      <w:proofErr w:type="spellStart"/>
      <w:r w:rsidR="00A46833" w:rsidRPr="0031634E">
        <w:rPr>
          <w:rFonts w:ascii="Arial" w:hAnsi="Arial" w:cs="Arial"/>
          <w:b/>
          <w:color w:val="FF0000"/>
          <w:sz w:val="21"/>
          <w:szCs w:val="21"/>
        </w:rPr>
        <w:t>hari</w:t>
      </w:r>
      <w:proofErr w:type="spellEnd"/>
      <w:r w:rsidR="00A46833" w:rsidRPr="0031634E">
        <w:rPr>
          <w:rFonts w:ascii="Arial" w:hAnsi="Arial" w:cs="Arial"/>
          <w:b/>
          <w:color w:val="FF0000"/>
          <w:sz w:val="21"/>
          <w:szCs w:val="21"/>
        </w:rPr>
        <w:t xml:space="preserve"> Jumaat, 1 April 2022</w:t>
      </w:r>
    </w:p>
    <w:p w14:paraId="3745B865" w14:textId="77777777" w:rsidR="00D87B09" w:rsidRDefault="00D87B09" w:rsidP="00425F95">
      <w:pPr>
        <w:spacing w:line="276" w:lineRule="auto"/>
        <w:rPr>
          <w:rFonts w:ascii="Arial" w:hAnsi="Arial" w:cs="Arial"/>
          <w:b/>
          <w:lang w:val="ms-MY"/>
        </w:rPr>
      </w:pPr>
    </w:p>
    <w:p w14:paraId="76E31780" w14:textId="37211AE6" w:rsidR="00425F95" w:rsidRPr="004062FD" w:rsidRDefault="00425F95" w:rsidP="00D87B09">
      <w:pPr>
        <w:spacing w:after="0" w:line="276" w:lineRule="auto"/>
        <w:jc w:val="center"/>
        <w:rPr>
          <w:rFonts w:ascii="Arial" w:hAnsi="Arial" w:cs="Arial"/>
          <w:b/>
          <w:lang w:val="ms-MY"/>
        </w:rPr>
      </w:pPr>
      <w:r w:rsidRPr="004062FD">
        <w:rPr>
          <w:rFonts w:ascii="Arial" w:hAnsi="Arial" w:cs="Arial"/>
          <w:b/>
          <w:lang w:val="ms-MY"/>
        </w:rPr>
        <w:t>SIARAN MEDIA</w:t>
      </w:r>
    </w:p>
    <w:p w14:paraId="61DE3F36" w14:textId="24198516" w:rsidR="00425F95" w:rsidRPr="004062FD" w:rsidRDefault="00D87B09" w:rsidP="00D87B09">
      <w:pPr>
        <w:spacing w:after="0" w:line="276" w:lineRule="auto"/>
        <w:jc w:val="center"/>
        <w:rPr>
          <w:rFonts w:ascii="Arial" w:hAnsi="Arial" w:cs="Arial"/>
          <w:b/>
          <w:lang w:val="ms-MY"/>
        </w:rPr>
      </w:pPr>
      <w:r w:rsidRPr="004062FD">
        <w:rPr>
          <w:rFonts w:ascii="Arial" w:hAnsi="Arial" w:cs="Arial"/>
          <w:b/>
          <w:lang w:val="ms-MY"/>
        </w:rPr>
        <w:t xml:space="preserve">LAPORAN </w:t>
      </w:r>
      <w:r w:rsidR="00425F95" w:rsidRPr="004062FD">
        <w:rPr>
          <w:rFonts w:ascii="Arial" w:hAnsi="Arial" w:cs="Arial"/>
          <w:b/>
          <w:lang w:val="ms-MY"/>
        </w:rPr>
        <w:t>PASARAN HARTA 2021</w:t>
      </w:r>
    </w:p>
    <w:p w14:paraId="7C11F7A9" w14:textId="77777777" w:rsidR="00425F95" w:rsidRPr="004062FD" w:rsidRDefault="00425F95" w:rsidP="00425F95">
      <w:pPr>
        <w:spacing w:line="276" w:lineRule="auto"/>
        <w:rPr>
          <w:rFonts w:ascii="Arial" w:hAnsi="Arial" w:cs="Arial"/>
          <w:b/>
          <w:caps/>
          <w:lang w:val="ms-MY"/>
        </w:rPr>
      </w:pPr>
    </w:p>
    <w:p w14:paraId="585708C0" w14:textId="044F7484" w:rsidR="00425F95" w:rsidRPr="004062FD" w:rsidRDefault="00425F95" w:rsidP="00425F95">
      <w:pPr>
        <w:spacing w:line="276" w:lineRule="auto"/>
        <w:rPr>
          <w:rFonts w:ascii="Arial" w:hAnsi="Arial" w:cs="Arial"/>
          <w:b/>
          <w:caps/>
          <w:lang w:val="ms-MY"/>
        </w:rPr>
      </w:pPr>
      <w:r w:rsidRPr="004062FD">
        <w:rPr>
          <w:rFonts w:ascii="Arial" w:hAnsi="Arial" w:cs="Arial"/>
          <w:b/>
          <w:caps/>
          <w:lang w:val="ms-MY"/>
        </w:rPr>
        <w:t>AKTIVITI PASARAN HARTA TANAH</w:t>
      </w:r>
    </w:p>
    <w:p w14:paraId="3FAB9467" w14:textId="6DC7EF29" w:rsidR="00425F95" w:rsidRPr="004062FD" w:rsidRDefault="00425F95" w:rsidP="00507410">
      <w:pPr>
        <w:pStyle w:val="ListParagraph"/>
        <w:numPr>
          <w:ilvl w:val="0"/>
          <w:numId w:val="14"/>
        </w:numPr>
        <w:spacing w:line="360" w:lineRule="auto"/>
        <w:ind w:left="318" w:hanging="422"/>
        <w:jc w:val="both"/>
        <w:rPr>
          <w:rFonts w:ascii="Arial" w:hAnsi="Arial" w:cs="Arial"/>
          <w:lang w:val="ms-MY"/>
        </w:rPr>
      </w:pPr>
      <w:r w:rsidRPr="004062FD">
        <w:rPr>
          <w:rFonts w:ascii="Arial" w:hAnsi="Arial" w:cs="Arial"/>
          <w:lang w:val="ms-MY"/>
        </w:rPr>
        <w:t>Prestasi pasaran harta tanah me</w:t>
      </w:r>
      <w:r w:rsidR="00D87B09" w:rsidRPr="004062FD">
        <w:rPr>
          <w:rFonts w:ascii="Arial" w:hAnsi="Arial" w:cs="Arial"/>
          <w:lang w:val="ms-MY"/>
        </w:rPr>
        <w:t xml:space="preserve">rekodkan </w:t>
      </w:r>
      <w:r w:rsidRPr="004062FD">
        <w:rPr>
          <w:rFonts w:ascii="Arial" w:hAnsi="Arial" w:cs="Arial"/>
          <w:lang w:val="ms-MY"/>
        </w:rPr>
        <w:t xml:space="preserve">peningkatan </w:t>
      </w:r>
      <w:r w:rsidR="00D87B09" w:rsidRPr="004062FD">
        <w:rPr>
          <w:rFonts w:ascii="Arial" w:hAnsi="Arial" w:cs="Arial"/>
          <w:lang w:val="ms-MY"/>
        </w:rPr>
        <w:t xml:space="preserve">kecil </w:t>
      </w:r>
      <w:r w:rsidRPr="004062FD">
        <w:rPr>
          <w:rFonts w:ascii="Arial" w:hAnsi="Arial" w:cs="Arial"/>
          <w:lang w:val="ms-MY"/>
        </w:rPr>
        <w:t xml:space="preserve">pada 2021 </w:t>
      </w:r>
      <w:r w:rsidR="00D87B09" w:rsidRPr="004062FD">
        <w:rPr>
          <w:rFonts w:ascii="Arial" w:hAnsi="Arial" w:cs="Arial"/>
          <w:lang w:val="ms-MY"/>
        </w:rPr>
        <w:t xml:space="preserve">tetapi masih belum melepasi paras pra-pendamik yang dicatatkan sebelum </w:t>
      </w:r>
      <w:r w:rsidRPr="004062FD">
        <w:rPr>
          <w:rFonts w:ascii="Arial" w:hAnsi="Arial" w:cs="Arial"/>
          <w:lang w:val="ms-MY"/>
        </w:rPr>
        <w:t xml:space="preserve">2020. </w:t>
      </w:r>
    </w:p>
    <w:p w14:paraId="346906AA" w14:textId="77777777" w:rsidR="00425F95" w:rsidRPr="004062FD" w:rsidRDefault="00425F95" w:rsidP="00507410">
      <w:pPr>
        <w:pStyle w:val="ListParagraph"/>
        <w:spacing w:line="360" w:lineRule="auto"/>
        <w:ind w:left="318" w:hanging="422"/>
        <w:jc w:val="both"/>
        <w:rPr>
          <w:rFonts w:ascii="Arial" w:hAnsi="Arial" w:cs="Arial"/>
          <w:color w:val="00B050"/>
          <w:lang w:val="ms-MY"/>
        </w:rPr>
      </w:pPr>
    </w:p>
    <w:p w14:paraId="3C317A08" w14:textId="20A21969" w:rsidR="00425F95" w:rsidRPr="004062FD" w:rsidRDefault="00425F95" w:rsidP="00507410">
      <w:pPr>
        <w:pStyle w:val="ListParagraph"/>
        <w:numPr>
          <w:ilvl w:val="0"/>
          <w:numId w:val="14"/>
        </w:numPr>
        <w:spacing w:line="360" w:lineRule="auto"/>
        <w:ind w:left="318" w:hanging="422"/>
        <w:jc w:val="both"/>
        <w:rPr>
          <w:rFonts w:ascii="Arial" w:hAnsi="Arial" w:cs="Arial"/>
          <w:color w:val="00B050"/>
          <w:lang w:val="ms-MY"/>
        </w:rPr>
      </w:pPr>
      <w:proofErr w:type="spellStart"/>
      <w:r w:rsidRPr="004062FD">
        <w:rPr>
          <w:rFonts w:ascii="Arial" w:hAnsi="Arial" w:cs="Arial"/>
          <w:bCs/>
        </w:rPr>
        <w:t>Sebanyak</w:t>
      </w:r>
      <w:proofErr w:type="spellEnd"/>
      <w:r w:rsidRPr="004062FD">
        <w:rPr>
          <w:rFonts w:ascii="Arial" w:hAnsi="Arial" w:cs="Arial"/>
          <w:bCs/>
        </w:rPr>
        <w:t xml:space="preserve"> </w:t>
      </w:r>
      <w:r w:rsidR="009F2B34" w:rsidRPr="004062FD">
        <w:rPr>
          <w:rFonts w:ascii="Arial" w:hAnsi="Arial" w:cs="Arial"/>
          <w:bCs/>
        </w:rPr>
        <w:t>300,497</w:t>
      </w:r>
      <w:r w:rsidRPr="004062FD">
        <w:rPr>
          <w:rFonts w:ascii="Arial" w:hAnsi="Arial" w:cs="Arial"/>
          <w:bCs/>
        </w:rPr>
        <w:t xml:space="preserve"> </w:t>
      </w:r>
      <w:proofErr w:type="spellStart"/>
      <w:r w:rsidRPr="004062FD">
        <w:rPr>
          <w:rFonts w:ascii="Arial" w:hAnsi="Arial" w:cs="Arial"/>
          <w:bCs/>
        </w:rPr>
        <w:t>transaksi</w:t>
      </w:r>
      <w:proofErr w:type="spellEnd"/>
      <w:r w:rsidRPr="004062FD">
        <w:rPr>
          <w:rFonts w:ascii="Arial" w:hAnsi="Arial" w:cs="Arial"/>
          <w:bCs/>
        </w:rPr>
        <w:t xml:space="preserve"> </w:t>
      </w:r>
      <w:proofErr w:type="spellStart"/>
      <w:r w:rsidRPr="004062FD">
        <w:rPr>
          <w:rFonts w:ascii="Arial" w:hAnsi="Arial" w:cs="Arial"/>
          <w:bCs/>
        </w:rPr>
        <w:t>bernilai</w:t>
      </w:r>
      <w:proofErr w:type="spellEnd"/>
      <w:r w:rsidRPr="004062FD">
        <w:rPr>
          <w:rFonts w:ascii="Arial" w:hAnsi="Arial" w:cs="Arial"/>
          <w:bCs/>
        </w:rPr>
        <w:t xml:space="preserve"> RM</w:t>
      </w:r>
      <w:r w:rsidR="009F2B34" w:rsidRPr="004062FD">
        <w:rPr>
          <w:rFonts w:ascii="Arial" w:hAnsi="Arial" w:cs="Arial"/>
          <w:bCs/>
        </w:rPr>
        <w:t>144</w:t>
      </w:r>
      <w:r w:rsidRPr="004062FD">
        <w:rPr>
          <w:rFonts w:ascii="Arial" w:hAnsi="Arial" w:cs="Arial"/>
          <w:bCs/>
        </w:rPr>
        <w:t>.</w:t>
      </w:r>
      <w:r w:rsidR="009F2B34" w:rsidRPr="004062FD">
        <w:rPr>
          <w:rFonts w:ascii="Arial" w:hAnsi="Arial" w:cs="Arial"/>
          <w:bCs/>
        </w:rPr>
        <w:t>87</w:t>
      </w:r>
      <w:r w:rsidRPr="004062FD">
        <w:rPr>
          <w:rFonts w:ascii="Arial" w:hAnsi="Arial" w:cs="Arial"/>
          <w:bCs/>
        </w:rPr>
        <w:t xml:space="preserve"> </w:t>
      </w:r>
      <w:proofErr w:type="spellStart"/>
      <w:r w:rsidRPr="004062FD">
        <w:rPr>
          <w:rFonts w:ascii="Arial" w:hAnsi="Arial" w:cs="Arial"/>
          <w:bCs/>
        </w:rPr>
        <w:t>bilion</w:t>
      </w:r>
      <w:proofErr w:type="spellEnd"/>
      <w:r w:rsidRPr="004062FD">
        <w:rPr>
          <w:rFonts w:ascii="Arial" w:hAnsi="Arial" w:cs="Arial"/>
          <w:bCs/>
        </w:rPr>
        <w:t xml:space="preserve"> </w:t>
      </w:r>
      <w:proofErr w:type="spellStart"/>
      <w:r w:rsidRPr="004062FD">
        <w:rPr>
          <w:rFonts w:ascii="Arial" w:hAnsi="Arial" w:cs="Arial"/>
          <w:bCs/>
        </w:rPr>
        <w:t>di</w:t>
      </w:r>
      <w:r w:rsidR="00D87B09" w:rsidRPr="004062FD">
        <w:rPr>
          <w:rFonts w:ascii="Arial" w:hAnsi="Arial" w:cs="Arial"/>
          <w:bCs/>
        </w:rPr>
        <w:t>rekodkan</w:t>
      </w:r>
      <w:proofErr w:type="spellEnd"/>
      <w:r w:rsidRPr="004062FD">
        <w:rPr>
          <w:rFonts w:ascii="Arial" w:hAnsi="Arial" w:cs="Arial"/>
          <w:bCs/>
        </w:rPr>
        <w:t xml:space="preserve">, </w:t>
      </w:r>
      <w:proofErr w:type="spellStart"/>
      <w:r w:rsidRPr="004062FD">
        <w:rPr>
          <w:rFonts w:ascii="Arial" w:hAnsi="Arial" w:cs="Arial"/>
          <w:bCs/>
        </w:rPr>
        <w:t>menunjukkan</w:t>
      </w:r>
      <w:proofErr w:type="spellEnd"/>
      <w:r w:rsidRPr="004062FD">
        <w:rPr>
          <w:rFonts w:ascii="Arial" w:hAnsi="Arial" w:cs="Arial"/>
          <w:bCs/>
        </w:rPr>
        <w:t xml:space="preserve"> </w:t>
      </w:r>
      <w:proofErr w:type="spellStart"/>
      <w:r w:rsidRPr="004062FD">
        <w:rPr>
          <w:rFonts w:ascii="Arial" w:hAnsi="Arial" w:cs="Arial"/>
          <w:bCs/>
        </w:rPr>
        <w:t>peningkatan</w:t>
      </w:r>
      <w:proofErr w:type="spellEnd"/>
      <w:r w:rsidRPr="004062FD">
        <w:rPr>
          <w:rFonts w:ascii="Arial" w:hAnsi="Arial" w:cs="Arial"/>
          <w:bCs/>
        </w:rPr>
        <w:t xml:space="preserve"> </w:t>
      </w:r>
      <w:r w:rsidR="009F2B34" w:rsidRPr="004062FD">
        <w:rPr>
          <w:rFonts w:ascii="Arial" w:hAnsi="Arial" w:cs="Arial"/>
          <w:bCs/>
        </w:rPr>
        <w:t>1</w:t>
      </w:r>
      <w:r w:rsidRPr="004062FD">
        <w:rPr>
          <w:rFonts w:ascii="Arial" w:hAnsi="Arial" w:cs="Arial"/>
          <w:bCs/>
        </w:rPr>
        <w:t>.</w:t>
      </w:r>
      <w:r w:rsidR="009F2B34" w:rsidRPr="004062FD">
        <w:rPr>
          <w:rFonts w:ascii="Arial" w:hAnsi="Arial" w:cs="Arial"/>
          <w:bCs/>
        </w:rPr>
        <w:t>5</w:t>
      </w:r>
      <w:r w:rsidRPr="004062FD">
        <w:rPr>
          <w:rFonts w:ascii="Arial" w:hAnsi="Arial" w:cs="Arial"/>
          <w:bCs/>
        </w:rPr>
        <w:t xml:space="preserve">% </w:t>
      </w:r>
      <w:r w:rsidR="00D87B09" w:rsidRPr="004062FD">
        <w:rPr>
          <w:rFonts w:ascii="Arial" w:hAnsi="Arial" w:cs="Arial"/>
          <w:bCs/>
        </w:rPr>
        <w:t xml:space="preserve">di </w:t>
      </w:r>
      <w:proofErr w:type="spellStart"/>
      <w:r w:rsidR="009F2B34" w:rsidRPr="004062FD">
        <w:rPr>
          <w:rFonts w:ascii="Arial" w:hAnsi="Arial" w:cs="Arial"/>
          <w:bCs/>
        </w:rPr>
        <w:t>dalam</w:t>
      </w:r>
      <w:proofErr w:type="spellEnd"/>
      <w:r w:rsidR="009F2B34" w:rsidRPr="004062FD">
        <w:rPr>
          <w:rFonts w:ascii="Arial" w:hAnsi="Arial" w:cs="Arial"/>
          <w:bCs/>
        </w:rPr>
        <w:t xml:space="preserve"> </w:t>
      </w:r>
      <w:proofErr w:type="spellStart"/>
      <w:r w:rsidR="009F2B34" w:rsidRPr="004062FD">
        <w:rPr>
          <w:rFonts w:ascii="Arial" w:hAnsi="Arial" w:cs="Arial"/>
          <w:bCs/>
        </w:rPr>
        <w:t>bilangan</w:t>
      </w:r>
      <w:proofErr w:type="spellEnd"/>
      <w:r w:rsidR="009F2B34" w:rsidRPr="004062FD">
        <w:rPr>
          <w:rFonts w:ascii="Arial" w:hAnsi="Arial" w:cs="Arial"/>
          <w:bCs/>
        </w:rPr>
        <w:t xml:space="preserve"> </w:t>
      </w:r>
      <w:r w:rsidRPr="004062FD">
        <w:rPr>
          <w:rFonts w:ascii="Arial" w:hAnsi="Arial" w:cs="Arial"/>
          <w:bCs/>
        </w:rPr>
        <w:t xml:space="preserve">dan </w:t>
      </w:r>
      <w:r w:rsidR="009F2B34" w:rsidRPr="004062FD">
        <w:rPr>
          <w:rFonts w:ascii="Arial" w:hAnsi="Arial" w:cs="Arial"/>
          <w:bCs/>
        </w:rPr>
        <w:t>2</w:t>
      </w:r>
      <w:r w:rsidRPr="004062FD">
        <w:rPr>
          <w:rFonts w:ascii="Arial" w:hAnsi="Arial" w:cs="Arial"/>
          <w:bCs/>
        </w:rPr>
        <w:t>1</w:t>
      </w:r>
      <w:r w:rsidR="009F2B34" w:rsidRPr="004062FD">
        <w:rPr>
          <w:rFonts w:ascii="Arial" w:hAnsi="Arial" w:cs="Arial"/>
          <w:bCs/>
        </w:rPr>
        <w:t>.7</w:t>
      </w:r>
      <w:r w:rsidRPr="004062FD">
        <w:rPr>
          <w:rFonts w:ascii="Arial" w:hAnsi="Arial" w:cs="Arial"/>
          <w:bCs/>
        </w:rPr>
        <w:t>%</w:t>
      </w:r>
      <w:r w:rsidR="009F2B34" w:rsidRPr="004062FD">
        <w:rPr>
          <w:rFonts w:ascii="Arial" w:hAnsi="Arial" w:cs="Arial"/>
          <w:bCs/>
        </w:rPr>
        <w:t xml:space="preserve"> </w:t>
      </w:r>
      <w:r w:rsidR="00D87B09" w:rsidRPr="004062FD">
        <w:rPr>
          <w:rFonts w:ascii="Arial" w:hAnsi="Arial" w:cs="Arial"/>
          <w:bCs/>
        </w:rPr>
        <w:t xml:space="preserve">di </w:t>
      </w:r>
      <w:proofErr w:type="spellStart"/>
      <w:r w:rsidR="009F2B34" w:rsidRPr="004062FD">
        <w:rPr>
          <w:rFonts w:ascii="Arial" w:hAnsi="Arial" w:cs="Arial"/>
          <w:bCs/>
        </w:rPr>
        <w:t>dalam</w:t>
      </w:r>
      <w:proofErr w:type="spellEnd"/>
      <w:r w:rsidR="009F2B34" w:rsidRPr="004062FD">
        <w:rPr>
          <w:rFonts w:ascii="Arial" w:hAnsi="Arial" w:cs="Arial"/>
          <w:bCs/>
        </w:rPr>
        <w:t xml:space="preserve"> </w:t>
      </w:r>
      <w:proofErr w:type="spellStart"/>
      <w:r w:rsidR="009F2B34" w:rsidRPr="004062FD">
        <w:rPr>
          <w:rFonts w:ascii="Arial" w:hAnsi="Arial" w:cs="Arial"/>
          <w:bCs/>
        </w:rPr>
        <w:t>nilai</w:t>
      </w:r>
      <w:proofErr w:type="spellEnd"/>
      <w:r w:rsidRPr="004062FD">
        <w:rPr>
          <w:rFonts w:ascii="Arial" w:hAnsi="Arial" w:cs="Arial"/>
          <w:bCs/>
        </w:rPr>
        <w:t xml:space="preserve"> </w:t>
      </w:r>
      <w:proofErr w:type="spellStart"/>
      <w:r w:rsidRPr="004062FD">
        <w:rPr>
          <w:rFonts w:ascii="Arial" w:hAnsi="Arial" w:cs="Arial"/>
          <w:bCs/>
        </w:rPr>
        <w:t>berbanding</w:t>
      </w:r>
      <w:proofErr w:type="spellEnd"/>
      <w:r w:rsidRPr="004062FD">
        <w:rPr>
          <w:rFonts w:ascii="Arial" w:hAnsi="Arial" w:cs="Arial"/>
          <w:bCs/>
        </w:rPr>
        <w:t xml:space="preserve"> </w:t>
      </w:r>
      <w:proofErr w:type="spellStart"/>
      <w:r w:rsidRPr="004062FD">
        <w:rPr>
          <w:rFonts w:ascii="Arial" w:hAnsi="Arial" w:cs="Arial"/>
          <w:bCs/>
        </w:rPr>
        <w:t>tahun</w:t>
      </w:r>
      <w:proofErr w:type="spellEnd"/>
      <w:r w:rsidRPr="004062FD">
        <w:rPr>
          <w:rFonts w:ascii="Arial" w:hAnsi="Arial" w:cs="Arial"/>
          <w:bCs/>
        </w:rPr>
        <w:t xml:space="preserve"> </w:t>
      </w:r>
      <w:proofErr w:type="spellStart"/>
      <w:r w:rsidRPr="004062FD">
        <w:rPr>
          <w:rFonts w:ascii="Arial" w:hAnsi="Arial" w:cs="Arial"/>
          <w:bCs/>
        </w:rPr>
        <w:t>lalu</w:t>
      </w:r>
      <w:proofErr w:type="spellEnd"/>
      <w:r w:rsidRPr="004062FD">
        <w:rPr>
          <w:rFonts w:ascii="Arial" w:hAnsi="Arial" w:cs="Arial"/>
          <w:color w:val="00B050"/>
          <w:lang w:val="ms-MY"/>
        </w:rPr>
        <w:t xml:space="preserve">. </w:t>
      </w:r>
    </w:p>
    <w:p w14:paraId="51234951" w14:textId="77777777" w:rsidR="00425F95" w:rsidRPr="004062FD" w:rsidRDefault="00425F95" w:rsidP="00507410">
      <w:pPr>
        <w:pStyle w:val="ListParagraph"/>
        <w:spacing w:line="360" w:lineRule="auto"/>
        <w:jc w:val="both"/>
        <w:rPr>
          <w:rFonts w:ascii="Arial" w:hAnsi="Arial" w:cs="Arial"/>
          <w:color w:val="00B050"/>
          <w:lang w:val="ms-MY"/>
        </w:rPr>
      </w:pPr>
    </w:p>
    <w:p w14:paraId="6063A71B" w14:textId="379D0BCF" w:rsidR="00425F95" w:rsidRPr="004062FD" w:rsidRDefault="00D87B09" w:rsidP="005620FC">
      <w:pPr>
        <w:pStyle w:val="ListParagraph"/>
        <w:numPr>
          <w:ilvl w:val="0"/>
          <w:numId w:val="14"/>
        </w:numPr>
        <w:spacing w:line="360" w:lineRule="auto"/>
        <w:ind w:left="318" w:hanging="422"/>
        <w:jc w:val="both"/>
        <w:rPr>
          <w:rFonts w:ascii="Arial" w:hAnsi="Arial" w:cs="Arial"/>
        </w:rPr>
      </w:pPr>
      <w:r w:rsidRPr="004062FD">
        <w:rPr>
          <w:rFonts w:ascii="Arial" w:hAnsi="Arial" w:cs="Arial"/>
          <w:bCs/>
        </w:rPr>
        <w:t>S</w:t>
      </w:r>
      <w:r w:rsidR="00425F95" w:rsidRPr="004062FD">
        <w:rPr>
          <w:rFonts w:ascii="Arial" w:hAnsi="Arial" w:cs="Arial"/>
          <w:lang w:val="ms-MY"/>
        </w:rPr>
        <w:t>ubsektor</w:t>
      </w:r>
      <w:r w:rsidR="00A46833" w:rsidRPr="004062FD">
        <w:rPr>
          <w:rFonts w:ascii="Arial" w:hAnsi="Arial" w:cs="Arial"/>
          <w:lang w:val="ms-MY"/>
        </w:rPr>
        <w:t xml:space="preserve"> kediaman, </w:t>
      </w:r>
      <w:r w:rsidR="00881942">
        <w:rPr>
          <w:rFonts w:ascii="Arial" w:hAnsi="Arial" w:cs="Arial"/>
          <w:lang w:val="ms-MY"/>
        </w:rPr>
        <w:t>perdagangan</w:t>
      </w:r>
      <w:r w:rsidR="00A46833" w:rsidRPr="004062FD">
        <w:rPr>
          <w:rFonts w:ascii="Arial" w:hAnsi="Arial" w:cs="Arial"/>
          <w:lang w:val="ms-MY"/>
        </w:rPr>
        <w:t xml:space="preserve"> dan industri</w:t>
      </w:r>
      <w:r w:rsidR="00425F95" w:rsidRPr="004062FD">
        <w:rPr>
          <w:rFonts w:ascii="Arial" w:hAnsi="Arial" w:cs="Arial"/>
          <w:lang w:val="ms-MY"/>
        </w:rPr>
        <w:t xml:space="preserve"> menunjukkan pe</w:t>
      </w:r>
      <w:r w:rsidRPr="004062FD">
        <w:rPr>
          <w:rFonts w:ascii="Arial" w:hAnsi="Arial" w:cs="Arial"/>
          <w:lang w:val="ms-MY"/>
        </w:rPr>
        <w:t xml:space="preserve">ningkatan dalam bilangan pindah milik </w:t>
      </w:r>
      <w:r w:rsidR="00A46833" w:rsidRPr="004062FD">
        <w:rPr>
          <w:rFonts w:ascii="Arial" w:hAnsi="Arial" w:cs="Arial"/>
          <w:lang w:val="ms-MY"/>
        </w:rPr>
        <w:t xml:space="preserve">dengan </w:t>
      </w:r>
      <w:r w:rsidR="00F96866" w:rsidRPr="004062FD">
        <w:rPr>
          <w:rFonts w:ascii="Arial" w:hAnsi="Arial" w:cs="Arial"/>
          <w:lang w:val="ms-MY"/>
        </w:rPr>
        <w:t xml:space="preserve">masing-masing </w:t>
      </w:r>
      <w:r w:rsidRPr="004062FD">
        <w:rPr>
          <w:rFonts w:ascii="Arial" w:hAnsi="Arial" w:cs="Arial"/>
          <w:lang w:val="ms-MY"/>
        </w:rPr>
        <w:t xml:space="preserve">pada </w:t>
      </w:r>
      <w:r w:rsidR="00A46833" w:rsidRPr="004062FD">
        <w:rPr>
          <w:rFonts w:ascii="Arial" w:hAnsi="Arial" w:cs="Arial"/>
          <w:lang w:val="ms-MY"/>
        </w:rPr>
        <w:t>3.9%, 10.7% dan 17.6%, manakala</w:t>
      </w:r>
      <w:r w:rsidR="00425F95" w:rsidRPr="004062FD">
        <w:rPr>
          <w:rFonts w:ascii="Arial" w:hAnsi="Arial" w:cs="Arial"/>
          <w:lang w:val="ms-MY"/>
        </w:rPr>
        <w:t xml:space="preserve"> </w:t>
      </w:r>
      <w:r w:rsidR="00A46833" w:rsidRPr="004062FD">
        <w:rPr>
          <w:rFonts w:ascii="Arial" w:hAnsi="Arial" w:cs="Arial"/>
          <w:lang w:val="ms-MY"/>
        </w:rPr>
        <w:t>s</w:t>
      </w:r>
      <w:r w:rsidR="00425F95" w:rsidRPr="004062FD">
        <w:rPr>
          <w:rFonts w:ascii="Arial" w:hAnsi="Arial" w:cs="Arial"/>
          <w:lang w:val="ms-MY"/>
        </w:rPr>
        <w:t xml:space="preserve">ubsektor pertanian dan tanah pembangunan </w:t>
      </w:r>
      <w:r w:rsidRPr="004062FD">
        <w:rPr>
          <w:rFonts w:ascii="Arial" w:hAnsi="Arial" w:cs="Arial"/>
          <w:lang w:val="ms-MY"/>
        </w:rPr>
        <w:t xml:space="preserve">menurun </w:t>
      </w:r>
      <w:r w:rsidR="00A46833" w:rsidRPr="004062FD">
        <w:rPr>
          <w:rFonts w:ascii="Arial" w:hAnsi="Arial" w:cs="Arial"/>
          <w:lang w:val="ms-MY"/>
        </w:rPr>
        <w:t>sedikit</w:t>
      </w:r>
      <w:r w:rsidRPr="004062FD">
        <w:rPr>
          <w:rFonts w:ascii="Arial" w:hAnsi="Arial" w:cs="Arial"/>
          <w:lang w:val="ms-MY"/>
        </w:rPr>
        <w:t xml:space="preserve"> masing-masing pada </w:t>
      </w:r>
      <w:r w:rsidR="00A46833" w:rsidRPr="004062FD">
        <w:rPr>
          <w:rFonts w:ascii="Arial" w:hAnsi="Arial" w:cs="Arial"/>
          <w:lang w:val="ms-MY"/>
        </w:rPr>
        <w:t xml:space="preserve">7.5% dan 7.4%. </w:t>
      </w:r>
      <w:r w:rsidR="00425F95" w:rsidRPr="004062FD">
        <w:rPr>
          <w:rFonts w:ascii="Arial" w:hAnsi="Arial" w:cs="Arial"/>
          <w:lang w:val="ms-MY"/>
        </w:rPr>
        <w:t xml:space="preserve"> </w:t>
      </w:r>
    </w:p>
    <w:p w14:paraId="57DB4432" w14:textId="77777777" w:rsidR="00A46833" w:rsidRPr="004062FD" w:rsidRDefault="00A46833" w:rsidP="00A46833">
      <w:pPr>
        <w:pStyle w:val="ListParagraph"/>
        <w:rPr>
          <w:rFonts w:ascii="Arial" w:hAnsi="Arial" w:cs="Arial"/>
          <w:color w:val="FF0000"/>
        </w:rPr>
      </w:pPr>
    </w:p>
    <w:p w14:paraId="5102E619" w14:textId="0EFB1F22" w:rsidR="00425F95" w:rsidRPr="004062FD" w:rsidRDefault="00A46833" w:rsidP="00C26FFD">
      <w:pPr>
        <w:pStyle w:val="ListParagraph"/>
        <w:numPr>
          <w:ilvl w:val="0"/>
          <w:numId w:val="14"/>
        </w:numPr>
        <w:spacing w:line="360" w:lineRule="auto"/>
        <w:ind w:left="318" w:hanging="408"/>
        <w:jc w:val="both"/>
        <w:rPr>
          <w:rFonts w:ascii="Arial" w:hAnsi="Arial" w:cs="Arial"/>
          <w:color w:val="FF0000"/>
          <w:lang w:val="ms-MY"/>
        </w:rPr>
      </w:pPr>
      <w:r w:rsidRPr="004062FD">
        <w:rPr>
          <w:rFonts w:ascii="Arial" w:hAnsi="Arial" w:cs="Arial"/>
        </w:rPr>
        <w:t>N</w:t>
      </w:r>
      <w:r w:rsidR="00425F95" w:rsidRPr="004062FD">
        <w:rPr>
          <w:rFonts w:ascii="Arial" w:hAnsi="Arial" w:cs="Arial"/>
        </w:rPr>
        <w:t xml:space="preserve">ilai </w:t>
      </w:r>
      <w:proofErr w:type="spellStart"/>
      <w:r w:rsidR="00425F95" w:rsidRPr="004062FD">
        <w:rPr>
          <w:rFonts w:ascii="Arial" w:hAnsi="Arial" w:cs="Arial"/>
        </w:rPr>
        <w:t>transaksi</w:t>
      </w:r>
      <w:proofErr w:type="spellEnd"/>
      <w:r w:rsidR="00425F95" w:rsidRPr="004062FD">
        <w:rPr>
          <w:rFonts w:ascii="Arial" w:hAnsi="Arial" w:cs="Arial"/>
        </w:rPr>
        <w:t xml:space="preserve"> </w:t>
      </w:r>
      <w:proofErr w:type="spellStart"/>
      <w:r w:rsidR="009A2B14" w:rsidRPr="004062FD">
        <w:rPr>
          <w:rFonts w:ascii="Arial" w:hAnsi="Arial" w:cs="Arial"/>
        </w:rPr>
        <w:t>merekodkan</w:t>
      </w:r>
      <w:proofErr w:type="spellEnd"/>
      <w:r w:rsidR="009A2B14" w:rsidRPr="004062FD">
        <w:rPr>
          <w:rFonts w:ascii="Arial" w:hAnsi="Arial" w:cs="Arial"/>
        </w:rPr>
        <w:t xml:space="preserve"> </w:t>
      </w:r>
      <w:proofErr w:type="spellStart"/>
      <w:r w:rsidR="009A2B14" w:rsidRPr="004062FD">
        <w:rPr>
          <w:rFonts w:ascii="Arial" w:hAnsi="Arial" w:cs="Arial"/>
        </w:rPr>
        <w:t>peningkatan</w:t>
      </w:r>
      <w:proofErr w:type="spellEnd"/>
      <w:r w:rsidR="009A2B14" w:rsidRPr="004062FD">
        <w:rPr>
          <w:rFonts w:ascii="Arial" w:hAnsi="Arial" w:cs="Arial"/>
        </w:rPr>
        <w:t xml:space="preserve"> yang </w:t>
      </w:r>
      <w:proofErr w:type="spellStart"/>
      <w:r w:rsidR="009A2B14" w:rsidRPr="004062FD">
        <w:rPr>
          <w:rFonts w:ascii="Arial" w:hAnsi="Arial" w:cs="Arial"/>
        </w:rPr>
        <w:t>lebih</w:t>
      </w:r>
      <w:proofErr w:type="spellEnd"/>
      <w:r w:rsidR="009A2B14" w:rsidRPr="004062FD">
        <w:rPr>
          <w:rFonts w:ascii="Arial" w:hAnsi="Arial" w:cs="Arial"/>
        </w:rPr>
        <w:t xml:space="preserve"> </w:t>
      </w:r>
      <w:proofErr w:type="spellStart"/>
      <w:r w:rsidR="009A2B14" w:rsidRPr="004062FD">
        <w:rPr>
          <w:rFonts w:ascii="Arial" w:hAnsi="Arial" w:cs="Arial"/>
        </w:rPr>
        <w:t>tinggi</w:t>
      </w:r>
      <w:proofErr w:type="spellEnd"/>
      <w:r w:rsidR="009A2B14" w:rsidRPr="004062FD">
        <w:rPr>
          <w:rFonts w:ascii="Arial" w:hAnsi="Arial" w:cs="Arial"/>
        </w:rPr>
        <w:t xml:space="preserve"> </w:t>
      </w:r>
      <w:proofErr w:type="spellStart"/>
      <w:r w:rsidRPr="004062FD">
        <w:rPr>
          <w:rFonts w:ascii="Arial" w:hAnsi="Arial" w:cs="Arial"/>
        </w:rPr>
        <w:t>bagi</w:t>
      </w:r>
      <w:proofErr w:type="spellEnd"/>
      <w:r w:rsidRPr="004062FD">
        <w:rPr>
          <w:rFonts w:ascii="Arial" w:hAnsi="Arial" w:cs="Arial"/>
        </w:rPr>
        <w:t xml:space="preserve"> </w:t>
      </w:r>
      <w:proofErr w:type="spellStart"/>
      <w:r w:rsidR="00425F95" w:rsidRPr="004062FD">
        <w:rPr>
          <w:rFonts w:ascii="Arial" w:hAnsi="Arial" w:cs="Arial"/>
        </w:rPr>
        <w:t>subsektor</w:t>
      </w:r>
      <w:proofErr w:type="spellEnd"/>
      <w:r w:rsidR="00425F95" w:rsidRPr="004062FD">
        <w:rPr>
          <w:rFonts w:ascii="Arial" w:hAnsi="Arial" w:cs="Arial"/>
        </w:rPr>
        <w:t xml:space="preserve"> </w:t>
      </w:r>
      <w:proofErr w:type="spellStart"/>
      <w:r w:rsidR="00425F95" w:rsidRPr="004062FD">
        <w:rPr>
          <w:rFonts w:ascii="Arial" w:hAnsi="Arial" w:cs="Arial"/>
        </w:rPr>
        <w:t>kediaman</w:t>
      </w:r>
      <w:proofErr w:type="spellEnd"/>
      <w:r w:rsidR="00425F95" w:rsidRPr="004062FD">
        <w:rPr>
          <w:rFonts w:ascii="Arial" w:hAnsi="Arial" w:cs="Arial"/>
        </w:rPr>
        <w:t xml:space="preserve">, </w:t>
      </w:r>
      <w:proofErr w:type="spellStart"/>
      <w:r w:rsidR="00881942">
        <w:rPr>
          <w:rFonts w:ascii="Arial" w:hAnsi="Arial" w:cs="Arial"/>
        </w:rPr>
        <w:t>perdagangan</w:t>
      </w:r>
      <w:proofErr w:type="spellEnd"/>
      <w:r w:rsidR="00425F95" w:rsidRPr="004062FD">
        <w:rPr>
          <w:rFonts w:ascii="Arial" w:hAnsi="Arial" w:cs="Arial"/>
        </w:rPr>
        <w:t xml:space="preserve">, </w:t>
      </w:r>
      <w:proofErr w:type="spellStart"/>
      <w:r w:rsidR="00425F95" w:rsidRPr="004062FD">
        <w:rPr>
          <w:rFonts w:ascii="Arial" w:hAnsi="Arial" w:cs="Arial"/>
        </w:rPr>
        <w:t>industri</w:t>
      </w:r>
      <w:proofErr w:type="spellEnd"/>
      <w:r w:rsidR="00425F95" w:rsidRPr="004062FD">
        <w:rPr>
          <w:rFonts w:ascii="Arial" w:hAnsi="Arial" w:cs="Arial"/>
        </w:rPr>
        <w:t xml:space="preserve">, dan </w:t>
      </w:r>
      <w:proofErr w:type="spellStart"/>
      <w:r w:rsidR="00425F95" w:rsidRPr="004062FD">
        <w:rPr>
          <w:rFonts w:ascii="Arial" w:hAnsi="Arial" w:cs="Arial"/>
        </w:rPr>
        <w:t>tanah</w:t>
      </w:r>
      <w:proofErr w:type="spellEnd"/>
      <w:r w:rsidR="00425F95" w:rsidRPr="004062FD">
        <w:rPr>
          <w:rFonts w:ascii="Arial" w:hAnsi="Arial" w:cs="Arial"/>
        </w:rPr>
        <w:t xml:space="preserve"> </w:t>
      </w:r>
      <w:proofErr w:type="spellStart"/>
      <w:r w:rsidR="00425F95" w:rsidRPr="004062FD">
        <w:rPr>
          <w:rFonts w:ascii="Arial" w:hAnsi="Arial" w:cs="Arial"/>
        </w:rPr>
        <w:t>pembangunan</w:t>
      </w:r>
      <w:proofErr w:type="spellEnd"/>
      <w:r w:rsidR="00425F95" w:rsidRPr="004062FD">
        <w:rPr>
          <w:rFonts w:ascii="Arial" w:hAnsi="Arial" w:cs="Arial"/>
        </w:rPr>
        <w:t xml:space="preserve"> </w:t>
      </w:r>
      <w:r w:rsidR="00662CC8" w:rsidRPr="004062FD">
        <w:rPr>
          <w:rFonts w:ascii="Arial" w:hAnsi="Arial" w:cs="Arial"/>
          <w:lang w:val="en-MY"/>
        </w:rPr>
        <w:t>masing-masing</w:t>
      </w:r>
      <w:r w:rsidR="00662CC8" w:rsidRPr="004062FD">
        <w:rPr>
          <w:rFonts w:ascii="Arial" w:hAnsi="Arial" w:cs="Arial"/>
        </w:rPr>
        <w:t xml:space="preserve"> </w:t>
      </w:r>
      <w:r w:rsidR="009A2B14" w:rsidRPr="004062FD">
        <w:rPr>
          <w:rFonts w:ascii="Arial" w:hAnsi="Arial" w:cs="Arial"/>
        </w:rPr>
        <w:t xml:space="preserve">pada </w:t>
      </w:r>
      <w:r w:rsidR="00AD5D2F" w:rsidRPr="004062FD">
        <w:rPr>
          <w:rFonts w:ascii="Arial" w:hAnsi="Arial" w:cs="Arial"/>
          <w:lang w:val="en-MY"/>
        </w:rPr>
        <w:t xml:space="preserve">16.7%, 43.1%, 32.9% dan 33.2%, </w:t>
      </w:r>
      <w:proofErr w:type="spellStart"/>
      <w:r w:rsidR="00AD5D2F" w:rsidRPr="004062FD">
        <w:rPr>
          <w:rFonts w:ascii="Arial" w:hAnsi="Arial" w:cs="Arial"/>
          <w:lang w:val="en-MY"/>
        </w:rPr>
        <w:t>manakala</w:t>
      </w:r>
      <w:proofErr w:type="spellEnd"/>
      <w:r w:rsidR="00AD5D2F" w:rsidRPr="004062FD">
        <w:rPr>
          <w:rFonts w:ascii="Arial" w:hAnsi="Arial" w:cs="Arial"/>
          <w:lang w:val="en-MY"/>
        </w:rPr>
        <w:t xml:space="preserve"> </w:t>
      </w:r>
      <w:proofErr w:type="spellStart"/>
      <w:r w:rsidR="00AD5D2F" w:rsidRPr="004062FD">
        <w:rPr>
          <w:rFonts w:ascii="Arial" w:hAnsi="Arial" w:cs="Arial"/>
          <w:lang w:val="en-MY"/>
        </w:rPr>
        <w:t>subsektor</w:t>
      </w:r>
      <w:proofErr w:type="spellEnd"/>
      <w:r w:rsidR="00AD5D2F" w:rsidRPr="004062FD">
        <w:rPr>
          <w:rFonts w:ascii="Arial" w:hAnsi="Arial" w:cs="Arial"/>
          <w:lang w:val="en-MY"/>
        </w:rPr>
        <w:t xml:space="preserve"> </w:t>
      </w:r>
      <w:proofErr w:type="spellStart"/>
      <w:r w:rsidR="00AD5D2F" w:rsidRPr="004062FD">
        <w:rPr>
          <w:rFonts w:ascii="Arial" w:hAnsi="Arial" w:cs="Arial"/>
          <w:lang w:val="en-MY"/>
        </w:rPr>
        <w:t>pertanian</w:t>
      </w:r>
      <w:proofErr w:type="spellEnd"/>
      <w:r w:rsidR="00AD5D2F" w:rsidRPr="004062FD">
        <w:rPr>
          <w:rFonts w:ascii="Arial" w:hAnsi="Arial" w:cs="Arial"/>
          <w:lang w:val="en-MY"/>
        </w:rPr>
        <w:t xml:space="preserve"> </w:t>
      </w:r>
      <w:proofErr w:type="spellStart"/>
      <w:r w:rsidR="00AD5D2F" w:rsidRPr="004062FD">
        <w:rPr>
          <w:rFonts w:ascii="Arial" w:hAnsi="Arial" w:cs="Arial"/>
          <w:lang w:val="en-MY"/>
        </w:rPr>
        <w:t>me</w:t>
      </w:r>
      <w:r w:rsidR="009A2B14" w:rsidRPr="004062FD">
        <w:rPr>
          <w:rFonts w:ascii="Arial" w:hAnsi="Arial" w:cs="Arial"/>
          <w:lang w:val="en-MY"/>
        </w:rPr>
        <w:t>rekod</w:t>
      </w:r>
      <w:proofErr w:type="spellEnd"/>
      <w:r w:rsidR="009A2B14" w:rsidRPr="004062FD">
        <w:rPr>
          <w:rFonts w:ascii="Arial" w:hAnsi="Arial" w:cs="Arial"/>
          <w:lang w:val="en-MY"/>
        </w:rPr>
        <w:t xml:space="preserve"> </w:t>
      </w:r>
      <w:proofErr w:type="spellStart"/>
      <w:r w:rsidR="009A2B14" w:rsidRPr="004062FD">
        <w:rPr>
          <w:rFonts w:ascii="Arial" w:hAnsi="Arial" w:cs="Arial"/>
          <w:lang w:val="en-MY"/>
        </w:rPr>
        <w:t>p</w:t>
      </w:r>
      <w:r w:rsidR="00AD5D2F" w:rsidRPr="004062FD">
        <w:rPr>
          <w:rFonts w:ascii="Arial" w:hAnsi="Arial" w:cs="Arial"/>
          <w:lang w:val="en-MY"/>
        </w:rPr>
        <w:t>enurunan</w:t>
      </w:r>
      <w:proofErr w:type="spellEnd"/>
      <w:r w:rsidR="009A2B14" w:rsidRPr="004062FD">
        <w:rPr>
          <w:rFonts w:ascii="Arial" w:hAnsi="Arial" w:cs="Arial"/>
          <w:lang w:val="en-MY"/>
        </w:rPr>
        <w:t xml:space="preserve"> pada</w:t>
      </w:r>
      <w:r w:rsidR="00AD5D2F" w:rsidRPr="004062FD">
        <w:rPr>
          <w:rFonts w:ascii="Arial" w:hAnsi="Arial" w:cs="Arial"/>
          <w:lang w:val="en-MY"/>
        </w:rPr>
        <w:t xml:space="preserve"> 5.1%.</w:t>
      </w:r>
    </w:p>
    <w:p w14:paraId="16709E46" w14:textId="77777777" w:rsidR="00AD5D2F" w:rsidRPr="004062FD" w:rsidRDefault="00AD5D2F" w:rsidP="00AD5D2F">
      <w:pPr>
        <w:pStyle w:val="ListParagraph"/>
        <w:rPr>
          <w:rFonts w:ascii="Arial" w:hAnsi="Arial" w:cs="Arial"/>
          <w:color w:val="FF0000"/>
          <w:lang w:val="ms-MY"/>
        </w:rPr>
      </w:pPr>
    </w:p>
    <w:p w14:paraId="2092BAAE" w14:textId="6B55ADE5" w:rsidR="009A2B14" w:rsidRPr="004062FD" w:rsidRDefault="00425F95" w:rsidP="005358ED">
      <w:pPr>
        <w:spacing w:line="360" w:lineRule="auto"/>
        <w:jc w:val="both"/>
        <w:rPr>
          <w:rFonts w:ascii="Arial" w:hAnsi="Arial" w:cs="Arial"/>
          <w:b/>
          <w:caps/>
          <w:lang w:val="ms-MY"/>
        </w:rPr>
      </w:pPr>
      <w:r w:rsidRPr="004062FD">
        <w:rPr>
          <w:rFonts w:ascii="Arial" w:hAnsi="Arial" w:cs="Arial"/>
          <w:b/>
          <w:caps/>
          <w:lang w:val="ms-MY"/>
        </w:rPr>
        <w:t>HARTA TANAH KEDIAMAN</w:t>
      </w:r>
    </w:p>
    <w:p w14:paraId="26DBA83D" w14:textId="758A6945" w:rsidR="00425F95" w:rsidRPr="004062FD" w:rsidRDefault="00AD5D2F" w:rsidP="00DD0CFA">
      <w:pPr>
        <w:pStyle w:val="ListParagraph"/>
        <w:numPr>
          <w:ilvl w:val="0"/>
          <w:numId w:val="14"/>
        </w:numPr>
        <w:spacing w:line="360" w:lineRule="auto"/>
        <w:ind w:hanging="450"/>
        <w:jc w:val="both"/>
        <w:rPr>
          <w:rFonts w:ascii="Arial" w:hAnsi="Arial" w:cs="Arial"/>
          <w:bCs/>
          <w:lang w:val="en-GB"/>
        </w:rPr>
      </w:pPr>
      <w:proofErr w:type="spellStart"/>
      <w:r w:rsidRPr="004062FD">
        <w:rPr>
          <w:rFonts w:ascii="Arial" w:hAnsi="Arial" w:cs="Arial"/>
          <w:bCs/>
          <w:lang w:val="en-GB"/>
        </w:rPr>
        <w:t>Subsektor</w:t>
      </w:r>
      <w:proofErr w:type="spellEnd"/>
      <w:r w:rsidRPr="004062FD">
        <w:rPr>
          <w:rFonts w:ascii="Arial" w:hAnsi="Arial" w:cs="Arial"/>
          <w:bCs/>
          <w:lang w:val="en-GB"/>
        </w:rPr>
        <w:t xml:space="preserve"> </w:t>
      </w:r>
      <w:proofErr w:type="spellStart"/>
      <w:r w:rsidRPr="004062FD">
        <w:rPr>
          <w:rFonts w:ascii="Arial" w:hAnsi="Arial" w:cs="Arial"/>
          <w:bCs/>
          <w:lang w:val="en-GB"/>
        </w:rPr>
        <w:t>kediaman</w:t>
      </w:r>
      <w:proofErr w:type="spellEnd"/>
      <w:r w:rsidRPr="004062FD">
        <w:rPr>
          <w:rFonts w:ascii="Arial" w:hAnsi="Arial" w:cs="Arial"/>
          <w:bCs/>
          <w:lang w:val="en-GB"/>
        </w:rPr>
        <w:t xml:space="preserve"> </w:t>
      </w:r>
      <w:proofErr w:type="spellStart"/>
      <w:r w:rsidRPr="004062FD">
        <w:rPr>
          <w:rFonts w:ascii="Arial" w:hAnsi="Arial" w:cs="Arial"/>
          <w:bCs/>
          <w:lang w:val="en-GB"/>
        </w:rPr>
        <w:t>menerajui</w:t>
      </w:r>
      <w:proofErr w:type="spellEnd"/>
      <w:r w:rsidRPr="004062FD">
        <w:rPr>
          <w:rFonts w:ascii="Arial" w:hAnsi="Arial" w:cs="Arial"/>
          <w:bCs/>
          <w:lang w:val="en-GB"/>
        </w:rPr>
        <w:t xml:space="preserve"> </w:t>
      </w:r>
      <w:proofErr w:type="spellStart"/>
      <w:r w:rsidRPr="004062FD">
        <w:rPr>
          <w:rFonts w:ascii="Arial" w:hAnsi="Arial" w:cs="Arial"/>
          <w:bCs/>
          <w:lang w:val="en-GB"/>
        </w:rPr>
        <w:t>keseluruhan</w:t>
      </w:r>
      <w:proofErr w:type="spellEnd"/>
      <w:r w:rsidRPr="004062FD">
        <w:rPr>
          <w:rFonts w:ascii="Arial" w:hAnsi="Arial" w:cs="Arial"/>
          <w:bCs/>
          <w:lang w:val="en-GB"/>
        </w:rPr>
        <w:t xml:space="preserve"> </w:t>
      </w:r>
      <w:proofErr w:type="spellStart"/>
      <w:r w:rsidRPr="004062FD">
        <w:rPr>
          <w:rFonts w:ascii="Arial" w:hAnsi="Arial" w:cs="Arial"/>
          <w:bCs/>
          <w:lang w:val="en-GB"/>
        </w:rPr>
        <w:t>aktiviti</w:t>
      </w:r>
      <w:proofErr w:type="spellEnd"/>
      <w:r w:rsidRPr="004062FD">
        <w:rPr>
          <w:rFonts w:ascii="Arial" w:hAnsi="Arial" w:cs="Arial"/>
          <w:bCs/>
          <w:lang w:val="en-GB"/>
        </w:rPr>
        <w:t xml:space="preserve"> </w:t>
      </w:r>
      <w:proofErr w:type="spellStart"/>
      <w:r w:rsidRPr="004062FD">
        <w:rPr>
          <w:rFonts w:ascii="Arial" w:hAnsi="Arial" w:cs="Arial"/>
          <w:bCs/>
          <w:lang w:val="en-GB"/>
        </w:rPr>
        <w:t>pasaran</w:t>
      </w:r>
      <w:proofErr w:type="spellEnd"/>
      <w:r w:rsidRPr="004062FD">
        <w:rPr>
          <w:rFonts w:ascii="Arial" w:hAnsi="Arial" w:cs="Arial"/>
          <w:bCs/>
          <w:lang w:val="en-GB"/>
        </w:rPr>
        <w:t xml:space="preserve"> </w:t>
      </w:r>
      <w:proofErr w:type="spellStart"/>
      <w:r w:rsidR="00BC0507" w:rsidRPr="004062FD">
        <w:rPr>
          <w:rFonts w:ascii="Arial" w:hAnsi="Arial" w:cs="Arial"/>
          <w:bCs/>
          <w:lang w:val="en-GB"/>
        </w:rPr>
        <w:t>harta</w:t>
      </w:r>
      <w:proofErr w:type="spellEnd"/>
      <w:r w:rsidR="00BC0507" w:rsidRPr="004062FD">
        <w:rPr>
          <w:rFonts w:ascii="Arial" w:hAnsi="Arial" w:cs="Arial"/>
          <w:bCs/>
          <w:lang w:val="en-GB"/>
        </w:rPr>
        <w:t xml:space="preserve"> </w:t>
      </w:r>
      <w:proofErr w:type="spellStart"/>
      <w:r w:rsidR="00BC0507" w:rsidRPr="004062FD">
        <w:rPr>
          <w:rFonts w:ascii="Arial" w:hAnsi="Arial" w:cs="Arial"/>
          <w:bCs/>
          <w:lang w:val="en-GB"/>
        </w:rPr>
        <w:t>tanah</w:t>
      </w:r>
      <w:proofErr w:type="spellEnd"/>
      <w:r w:rsidRPr="004062FD">
        <w:rPr>
          <w:rFonts w:ascii="Arial" w:hAnsi="Arial" w:cs="Arial"/>
          <w:bCs/>
          <w:lang w:val="en-GB"/>
        </w:rPr>
        <w:t xml:space="preserve"> </w:t>
      </w:r>
      <w:proofErr w:type="spellStart"/>
      <w:r w:rsidRPr="004062FD">
        <w:rPr>
          <w:rFonts w:ascii="Arial" w:hAnsi="Arial" w:cs="Arial"/>
          <w:bCs/>
          <w:lang w:val="en-GB"/>
        </w:rPr>
        <w:t>dengan</w:t>
      </w:r>
      <w:proofErr w:type="spellEnd"/>
      <w:r w:rsidRPr="004062FD">
        <w:rPr>
          <w:rFonts w:ascii="Arial" w:hAnsi="Arial" w:cs="Arial"/>
          <w:bCs/>
          <w:lang w:val="en-GB"/>
        </w:rPr>
        <w:t xml:space="preserve"> </w:t>
      </w:r>
      <w:proofErr w:type="spellStart"/>
      <w:r w:rsidRPr="004062FD">
        <w:rPr>
          <w:rFonts w:ascii="Arial" w:hAnsi="Arial" w:cs="Arial"/>
          <w:bCs/>
          <w:lang w:val="en-GB"/>
        </w:rPr>
        <w:t>sumbangan</w:t>
      </w:r>
      <w:proofErr w:type="spellEnd"/>
      <w:r w:rsidRPr="004062FD">
        <w:rPr>
          <w:rFonts w:ascii="Arial" w:hAnsi="Arial" w:cs="Arial"/>
          <w:bCs/>
          <w:lang w:val="en-GB"/>
        </w:rPr>
        <w:t xml:space="preserve"> 66.2%</w:t>
      </w:r>
      <w:r w:rsidR="009A2B14" w:rsidRPr="004062FD">
        <w:rPr>
          <w:rFonts w:ascii="Arial" w:hAnsi="Arial" w:cs="Arial"/>
          <w:bCs/>
          <w:lang w:val="en-GB"/>
        </w:rPr>
        <w:t xml:space="preserve"> </w:t>
      </w:r>
      <w:proofErr w:type="spellStart"/>
      <w:r w:rsidR="009A2B14" w:rsidRPr="004062FD">
        <w:rPr>
          <w:rFonts w:ascii="Arial" w:hAnsi="Arial" w:cs="Arial"/>
          <w:bCs/>
          <w:lang w:val="en-GB"/>
        </w:rPr>
        <w:t>dalam</w:t>
      </w:r>
      <w:proofErr w:type="spellEnd"/>
      <w:r w:rsidR="009A2B14" w:rsidRPr="004062FD">
        <w:rPr>
          <w:rFonts w:ascii="Arial" w:hAnsi="Arial" w:cs="Arial"/>
          <w:bCs/>
          <w:lang w:val="en-GB"/>
        </w:rPr>
        <w:t xml:space="preserve"> </w:t>
      </w:r>
      <w:proofErr w:type="spellStart"/>
      <w:r w:rsidR="009A2B14" w:rsidRPr="004062FD">
        <w:rPr>
          <w:rFonts w:ascii="Arial" w:hAnsi="Arial" w:cs="Arial"/>
          <w:bCs/>
          <w:lang w:val="en-GB"/>
        </w:rPr>
        <w:t>bilangan</w:t>
      </w:r>
      <w:proofErr w:type="spellEnd"/>
      <w:r w:rsidRPr="004062FD">
        <w:rPr>
          <w:rFonts w:ascii="Arial" w:hAnsi="Arial" w:cs="Arial"/>
          <w:bCs/>
          <w:lang w:val="en-GB"/>
        </w:rPr>
        <w:t xml:space="preserve">. </w:t>
      </w:r>
      <w:proofErr w:type="spellStart"/>
      <w:r w:rsidRPr="004062FD">
        <w:rPr>
          <w:rFonts w:ascii="Arial" w:hAnsi="Arial" w:cs="Arial"/>
          <w:bCs/>
          <w:lang w:val="en-GB"/>
        </w:rPr>
        <w:t>Terdapat</w:t>
      </w:r>
      <w:proofErr w:type="spellEnd"/>
      <w:r w:rsidRPr="004062FD">
        <w:rPr>
          <w:rFonts w:ascii="Arial" w:hAnsi="Arial" w:cs="Arial"/>
          <w:bCs/>
          <w:lang w:val="en-GB"/>
        </w:rPr>
        <w:t xml:space="preserve"> 198,812 </w:t>
      </w:r>
      <w:proofErr w:type="spellStart"/>
      <w:r w:rsidR="00DD0CFA" w:rsidRPr="004062FD">
        <w:rPr>
          <w:rFonts w:ascii="Arial" w:hAnsi="Arial" w:cs="Arial"/>
          <w:bCs/>
          <w:lang w:val="en-GB"/>
        </w:rPr>
        <w:t>transaksi</w:t>
      </w:r>
      <w:proofErr w:type="spellEnd"/>
      <w:r w:rsidRPr="004062FD">
        <w:rPr>
          <w:rFonts w:ascii="Arial" w:hAnsi="Arial" w:cs="Arial"/>
          <w:bCs/>
          <w:lang w:val="en-GB"/>
        </w:rPr>
        <w:t xml:space="preserve"> </w:t>
      </w:r>
      <w:proofErr w:type="spellStart"/>
      <w:r w:rsidRPr="004062FD">
        <w:rPr>
          <w:rFonts w:ascii="Arial" w:hAnsi="Arial" w:cs="Arial"/>
          <w:bCs/>
          <w:lang w:val="en-GB"/>
        </w:rPr>
        <w:t>bernilai</w:t>
      </w:r>
      <w:proofErr w:type="spellEnd"/>
      <w:r w:rsidRPr="004062FD">
        <w:rPr>
          <w:rFonts w:ascii="Arial" w:hAnsi="Arial" w:cs="Arial"/>
          <w:bCs/>
          <w:lang w:val="en-GB"/>
        </w:rPr>
        <w:t xml:space="preserve"> RM76.90 </w:t>
      </w:r>
      <w:proofErr w:type="spellStart"/>
      <w:r w:rsidRPr="004062FD">
        <w:rPr>
          <w:rFonts w:ascii="Arial" w:hAnsi="Arial" w:cs="Arial"/>
          <w:bCs/>
          <w:lang w:val="en-GB"/>
        </w:rPr>
        <w:t>bilion</w:t>
      </w:r>
      <w:proofErr w:type="spellEnd"/>
      <w:r w:rsidRPr="004062FD">
        <w:rPr>
          <w:rFonts w:ascii="Arial" w:hAnsi="Arial" w:cs="Arial"/>
          <w:bCs/>
          <w:lang w:val="en-GB"/>
        </w:rPr>
        <w:t xml:space="preserve"> </w:t>
      </w:r>
      <w:proofErr w:type="spellStart"/>
      <w:r w:rsidRPr="004062FD">
        <w:rPr>
          <w:rFonts w:ascii="Arial" w:hAnsi="Arial" w:cs="Arial"/>
          <w:bCs/>
          <w:lang w:val="en-GB"/>
        </w:rPr>
        <w:t>direkodkan</w:t>
      </w:r>
      <w:proofErr w:type="spellEnd"/>
      <w:r w:rsidRPr="004062FD">
        <w:rPr>
          <w:rFonts w:ascii="Arial" w:hAnsi="Arial" w:cs="Arial"/>
          <w:bCs/>
          <w:lang w:val="en-GB"/>
        </w:rPr>
        <w:t xml:space="preserve"> </w:t>
      </w:r>
      <w:proofErr w:type="spellStart"/>
      <w:r w:rsidRPr="004062FD">
        <w:rPr>
          <w:rFonts w:ascii="Arial" w:hAnsi="Arial" w:cs="Arial"/>
          <w:bCs/>
          <w:lang w:val="en-GB"/>
        </w:rPr>
        <w:t>dalam</w:t>
      </w:r>
      <w:proofErr w:type="spellEnd"/>
      <w:r w:rsidRPr="004062FD">
        <w:rPr>
          <w:rFonts w:ascii="Arial" w:hAnsi="Arial" w:cs="Arial"/>
          <w:bCs/>
          <w:lang w:val="en-GB"/>
        </w:rPr>
        <w:t xml:space="preserve"> </w:t>
      </w:r>
      <w:proofErr w:type="spellStart"/>
      <w:r w:rsidRPr="004062FD">
        <w:rPr>
          <w:rFonts w:ascii="Arial" w:hAnsi="Arial" w:cs="Arial"/>
          <w:bCs/>
          <w:lang w:val="en-GB"/>
        </w:rPr>
        <w:t>tempoh</w:t>
      </w:r>
      <w:proofErr w:type="spellEnd"/>
      <w:r w:rsidRPr="004062FD">
        <w:rPr>
          <w:rFonts w:ascii="Arial" w:hAnsi="Arial" w:cs="Arial"/>
          <w:bCs/>
          <w:lang w:val="en-GB"/>
        </w:rPr>
        <w:t xml:space="preserve"> </w:t>
      </w:r>
      <w:proofErr w:type="spellStart"/>
      <w:r w:rsidR="00DD0CFA" w:rsidRPr="004062FD">
        <w:rPr>
          <w:rFonts w:ascii="Arial" w:hAnsi="Arial" w:cs="Arial"/>
          <w:bCs/>
          <w:lang w:val="en-GB"/>
        </w:rPr>
        <w:t>kajian</w:t>
      </w:r>
      <w:proofErr w:type="spellEnd"/>
      <w:r w:rsidRPr="004062FD">
        <w:rPr>
          <w:rFonts w:ascii="Arial" w:hAnsi="Arial" w:cs="Arial"/>
          <w:bCs/>
          <w:lang w:val="en-GB"/>
        </w:rPr>
        <w:t xml:space="preserve">, </w:t>
      </w:r>
      <w:proofErr w:type="spellStart"/>
      <w:r w:rsidRPr="004062FD">
        <w:rPr>
          <w:rFonts w:ascii="Arial" w:hAnsi="Arial" w:cs="Arial"/>
          <w:bCs/>
          <w:lang w:val="en-GB"/>
        </w:rPr>
        <w:t>peningkatan</w:t>
      </w:r>
      <w:proofErr w:type="spellEnd"/>
      <w:r w:rsidRPr="004062FD">
        <w:rPr>
          <w:rFonts w:ascii="Arial" w:hAnsi="Arial" w:cs="Arial"/>
          <w:bCs/>
          <w:lang w:val="en-GB"/>
        </w:rPr>
        <w:t xml:space="preserve"> </w:t>
      </w:r>
      <w:r w:rsidR="002A45DA" w:rsidRPr="004062FD">
        <w:rPr>
          <w:rFonts w:ascii="Arial" w:hAnsi="Arial" w:cs="Arial"/>
          <w:bCs/>
          <w:lang w:val="en-GB"/>
        </w:rPr>
        <w:t>pada</w:t>
      </w:r>
      <w:r w:rsidRPr="004062FD">
        <w:rPr>
          <w:rFonts w:ascii="Arial" w:hAnsi="Arial" w:cs="Arial"/>
          <w:bCs/>
          <w:lang w:val="en-GB"/>
        </w:rPr>
        <w:t xml:space="preserve"> 3.9% </w:t>
      </w:r>
      <w:r w:rsidR="002A45DA" w:rsidRPr="004062FD">
        <w:rPr>
          <w:rFonts w:ascii="Arial" w:hAnsi="Arial" w:cs="Arial"/>
          <w:bCs/>
          <w:lang w:val="en-GB"/>
        </w:rPr>
        <w:t xml:space="preserve">di </w:t>
      </w:r>
      <w:proofErr w:type="spellStart"/>
      <w:r w:rsidRPr="004062FD">
        <w:rPr>
          <w:rFonts w:ascii="Arial" w:hAnsi="Arial" w:cs="Arial"/>
          <w:bCs/>
          <w:lang w:val="en-GB"/>
        </w:rPr>
        <w:t>dalam</w:t>
      </w:r>
      <w:proofErr w:type="spellEnd"/>
      <w:r w:rsidRPr="004062FD">
        <w:rPr>
          <w:rFonts w:ascii="Arial" w:hAnsi="Arial" w:cs="Arial"/>
          <w:bCs/>
          <w:lang w:val="en-GB"/>
        </w:rPr>
        <w:t xml:space="preserve"> </w:t>
      </w:r>
      <w:proofErr w:type="spellStart"/>
      <w:r w:rsidR="00DD0CFA" w:rsidRPr="004062FD">
        <w:rPr>
          <w:rFonts w:ascii="Arial" w:hAnsi="Arial" w:cs="Arial"/>
          <w:bCs/>
          <w:lang w:val="en-GB"/>
        </w:rPr>
        <w:t>bilangan</w:t>
      </w:r>
      <w:proofErr w:type="spellEnd"/>
      <w:r w:rsidRPr="004062FD">
        <w:rPr>
          <w:rFonts w:ascii="Arial" w:hAnsi="Arial" w:cs="Arial"/>
          <w:bCs/>
          <w:lang w:val="en-GB"/>
        </w:rPr>
        <w:t xml:space="preserve"> dan 16.7% </w:t>
      </w:r>
      <w:r w:rsidR="002A45DA" w:rsidRPr="004062FD">
        <w:rPr>
          <w:rFonts w:ascii="Arial" w:hAnsi="Arial" w:cs="Arial"/>
          <w:bCs/>
          <w:lang w:val="en-GB"/>
        </w:rPr>
        <w:t xml:space="preserve">di </w:t>
      </w:r>
      <w:proofErr w:type="spellStart"/>
      <w:r w:rsidRPr="004062FD">
        <w:rPr>
          <w:rFonts w:ascii="Arial" w:hAnsi="Arial" w:cs="Arial"/>
          <w:bCs/>
          <w:lang w:val="en-GB"/>
        </w:rPr>
        <w:t>dalam</w:t>
      </w:r>
      <w:proofErr w:type="spellEnd"/>
      <w:r w:rsidRPr="004062FD">
        <w:rPr>
          <w:rFonts w:ascii="Arial" w:hAnsi="Arial" w:cs="Arial"/>
          <w:bCs/>
          <w:lang w:val="en-GB"/>
        </w:rPr>
        <w:t xml:space="preserve"> </w:t>
      </w:r>
      <w:proofErr w:type="spellStart"/>
      <w:r w:rsidRPr="004062FD">
        <w:rPr>
          <w:rFonts w:ascii="Arial" w:hAnsi="Arial" w:cs="Arial"/>
          <w:bCs/>
          <w:lang w:val="en-GB"/>
        </w:rPr>
        <w:t>nilai</w:t>
      </w:r>
      <w:proofErr w:type="spellEnd"/>
      <w:r w:rsidR="002A45DA" w:rsidRPr="004062FD">
        <w:rPr>
          <w:rFonts w:ascii="Arial" w:hAnsi="Arial" w:cs="Arial"/>
          <w:bCs/>
          <w:lang w:val="en-GB"/>
        </w:rPr>
        <w:t xml:space="preserve"> </w:t>
      </w:r>
      <w:proofErr w:type="spellStart"/>
      <w:r w:rsidR="002A45DA" w:rsidRPr="004062FD">
        <w:rPr>
          <w:rFonts w:ascii="Arial" w:hAnsi="Arial" w:cs="Arial"/>
          <w:bCs/>
          <w:lang w:val="en-GB"/>
        </w:rPr>
        <w:t>bagi</w:t>
      </w:r>
      <w:proofErr w:type="spellEnd"/>
      <w:r w:rsidR="002A45DA" w:rsidRPr="004062FD">
        <w:rPr>
          <w:rFonts w:ascii="Arial" w:hAnsi="Arial" w:cs="Arial"/>
          <w:bCs/>
          <w:lang w:val="en-GB"/>
        </w:rPr>
        <w:t xml:space="preserve"> </w:t>
      </w:r>
      <w:proofErr w:type="spellStart"/>
      <w:r w:rsidR="002A45DA" w:rsidRPr="004062FD">
        <w:rPr>
          <w:rFonts w:ascii="Arial" w:hAnsi="Arial" w:cs="Arial"/>
          <w:bCs/>
          <w:lang w:val="en-GB"/>
        </w:rPr>
        <w:t>tahun</w:t>
      </w:r>
      <w:proofErr w:type="spellEnd"/>
      <w:r w:rsidR="002A45DA" w:rsidRPr="004062FD">
        <w:rPr>
          <w:rFonts w:ascii="Arial" w:hAnsi="Arial" w:cs="Arial"/>
          <w:bCs/>
          <w:lang w:val="en-GB"/>
        </w:rPr>
        <w:t xml:space="preserve"> </w:t>
      </w:r>
      <w:proofErr w:type="spellStart"/>
      <w:r w:rsidR="002A45DA" w:rsidRPr="004062FD">
        <w:rPr>
          <w:rFonts w:ascii="Arial" w:hAnsi="Arial" w:cs="Arial"/>
          <w:bCs/>
          <w:lang w:val="en-GB"/>
        </w:rPr>
        <w:t>ke</w:t>
      </w:r>
      <w:proofErr w:type="spellEnd"/>
      <w:r w:rsidR="002A45DA" w:rsidRPr="004062FD">
        <w:rPr>
          <w:rFonts w:ascii="Arial" w:hAnsi="Arial" w:cs="Arial"/>
          <w:bCs/>
          <w:lang w:val="en-GB"/>
        </w:rPr>
        <w:t xml:space="preserve"> </w:t>
      </w:r>
      <w:proofErr w:type="spellStart"/>
      <w:r w:rsidR="002A45DA" w:rsidRPr="004062FD">
        <w:rPr>
          <w:rFonts w:ascii="Arial" w:hAnsi="Arial" w:cs="Arial"/>
          <w:bCs/>
          <w:lang w:val="en-GB"/>
        </w:rPr>
        <w:t>tahun</w:t>
      </w:r>
      <w:proofErr w:type="spellEnd"/>
      <w:r w:rsidRPr="004062FD">
        <w:rPr>
          <w:rFonts w:ascii="Arial" w:hAnsi="Arial" w:cs="Arial"/>
          <w:bCs/>
          <w:lang w:val="en-GB"/>
        </w:rPr>
        <w:t xml:space="preserve">. </w:t>
      </w:r>
      <w:proofErr w:type="spellStart"/>
      <w:r w:rsidRPr="004062FD">
        <w:rPr>
          <w:rFonts w:ascii="Arial" w:hAnsi="Arial" w:cs="Arial"/>
          <w:bCs/>
          <w:lang w:val="en-GB"/>
        </w:rPr>
        <w:t>Peningkatan</w:t>
      </w:r>
      <w:proofErr w:type="spellEnd"/>
      <w:r w:rsidRPr="004062FD">
        <w:rPr>
          <w:rFonts w:ascii="Arial" w:hAnsi="Arial" w:cs="Arial"/>
          <w:bCs/>
          <w:lang w:val="en-GB"/>
        </w:rPr>
        <w:t xml:space="preserve"> </w:t>
      </w:r>
      <w:proofErr w:type="spellStart"/>
      <w:r w:rsidRPr="004062FD">
        <w:rPr>
          <w:rFonts w:ascii="Arial" w:hAnsi="Arial" w:cs="Arial"/>
          <w:bCs/>
          <w:lang w:val="en-GB"/>
        </w:rPr>
        <w:t>itu</w:t>
      </w:r>
      <w:proofErr w:type="spellEnd"/>
      <w:r w:rsidRPr="004062FD">
        <w:rPr>
          <w:rFonts w:ascii="Arial" w:hAnsi="Arial" w:cs="Arial"/>
          <w:bCs/>
          <w:lang w:val="en-GB"/>
        </w:rPr>
        <w:t xml:space="preserve"> </w:t>
      </w:r>
      <w:proofErr w:type="spellStart"/>
      <w:r w:rsidRPr="004062FD">
        <w:rPr>
          <w:rFonts w:ascii="Arial" w:hAnsi="Arial" w:cs="Arial"/>
          <w:bCs/>
          <w:lang w:val="en-GB"/>
        </w:rPr>
        <w:t>disokong</w:t>
      </w:r>
      <w:proofErr w:type="spellEnd"/>
      <w:r w:rsidRPr="004062FD">
        <w:rPr>
          <w:rFonts w:ascii="Arial" w:hAnsi="Arial" w:cs="Arial"/>
          <w:bCs/>
          <w:lang w:val="en-GB"/>
        </w:rPr>
        <w:t xml:space="preserve"> oleh </w:t>
      </w:r>
      <w:proofErr w:type="spellStart"/>
      <w:r w:rsidRPr="004062FD">
        <w:rPr>
          <w:rFonts w:ascii="Arial" w:hAnsi="Arial" w:cs="Arial"/>
          <w:bCs/>
          <w:lang w:val="en-GB"/>
        </w:rPr>
        <w:t>aliran</w:t>
      </w:r>
      <w:proofErr w:type="spellEnd"/>
      <w:r w:rsidRPr="004062FD">
        <w:rPr>
          <w:rFonts w:ascii="Arial" w:hAnsi="Arial" w:cs="Arial"/>
          <w:bCs/>
          <w:lang w:val="en-GB"/>
        </w:rPr>
        <w:t xml:space="preserve"> </w:t>
      </w:r>
      <w:proofErr w:type="spellStart"/>
      <w:r w:rsidRPr="004062FD">
        <w:rPr>
          <w:rFonts w:ascii="Arial" w:hAnsi="Arial" w:cs="Arial"/>
          <w:bCs/>
          <w:lang w:val="en-GB"/>
        </w:rPr>
        <w:t>menaik</w:t>
      </w:r>
      <w:proofErr w:type="spellEnd"/>
      <w:r w:rsidRPr="004062FD">
        <w:rPr>
          <w:rFonts w:ascii="Arial" w:hAnsi="Arial" w:cs="Arial"/>
          <w:bCs/>
          <w:lang w:val="en-GB"/>
        </w:rPr>
        <w:t xml:space="preserve"> yang </w:t>
      </w:r>
      <w:proofErr w:type="spellStart"/>
      <w:r w:rsidRPr="004062FD">
        <w:rPr>
          <w:rFonts w:ascii="Arial" w:hAnsi="Arial" w:cs="Arial"/>
          <w:bCs/>
          <w:lang w:val="en-GB"/>
        </w:rPr>
        <w:t>di</w:t>
      </w:r>
      <w:r w:rsidR="002A45DA" w:rsidRPr="004062FD">
        <w:rPr>
          <w:rFonts w:ascii="Arial" w:hAnsi="Arial" w:cs="Arial"/>
          <w:bCs/>
          <w:lang w:val="en-GB"/>
        </w:rPr>
        <w:t>rekodkan</w:t>
      </w:r>
      <w:proofErr w:type="spellEnd"/>
      <w:r w:rsidR="002A45DA" w:rsidRPr="004062FD">
        <w:rPr>
          <w:rFonts w:ascii="Arial" w:hAnsi="Arial" w:cs="Arial"/>
          <w:bCs/>
          <w:lang w:val="en-GB"/>
        </w:rPr>
        <w:t xml:space="preserve"> </w:t>
      </w:r>
      <w:r w:rsidRPr="004062FD">
        <w:rPr>
          <w:rFonts w:ascii="Arial" w:hAnsi="Arial" w:cs="Arial"/>
          <w:bCs/>
          <w:lang w:val="en-GB"/>
        </w:rPr>
        <w:t xml:space="preserve">di </w:t>
      </w:r>
      <w:r w:rsidR="00F96866" w:rsidRPr="004062FD">
        <w:rPr>
          <w:rFonts w:ascii="Arial" w:hAnsi="Arial" w:cs="Arial"/>
          <w:lang w:val="ms-MY"/>
        </w:rPr>
        <w:t>WP Kuala Lumpur</w:t>
      </w:r>
      <w:r w:rsidRPr="004062FD">
        <w:rPr>
          <w:rFonts w:ascii="Arial" w:hAnsi="Arial" w:cs="Arial"/>
          <w:bCs/>
          <w:lang w:val="en-GB"/>
        </w:rPr>
        <w:t xml:space="preserve"> (4.9%), Selangor (10.7%), </w:t>
      </w:r>
      <w:proofErr w:type="spellStart"/>
      <w:r w:rsidRPr="004062FD">
        <w:rPr>
          <w:rFonts w:ascii="Arial" w:hAnsi="Arial" w:cs="Arial"/>
          <w:bCs/>
          <w:lang w:val="en-GB"/>
        </w:rPr>
        <w:t>Pulau</w:t>
      </w:r>
      <w:proofErr w:type="spellEnd"/>
      <w:r w:rsidRPr="004062FD">
        <w:rPr>
          <w:rFonts w:ascii="Arial" w:hAnsi="Arial" w:cs="Arial"/>
          <w:bCs/>
          <w:lang w:val="en-GB"/>
        </w:rPr>
        <w:t xml:space="preserve"> Pinang (16.3%) dan Perak (3.2%). </w:t>
      </w:r>
      <w:proofErr w:type="spellStart"/>
      <w:r w:rsidRPr="004062FD">
        <w:rPr>
          <w:rFonts w:ascii="Arial" w:hAnsi="Arial" w:cs="Arial"/>
          <w:bCs/>
          <w:lang w:val="en-GB"/>
        </w:rPr>
        <w:t>Sebaliknya</w:t>
      </w:r>
      <w:proofErr w:type="spellEnd"/>
      <w:r w:rsidRPr="004062FD">
        <w:rPr>
          <w:rFonts w:ascii="Arial" w:hAnsi="Arial" w:cs="Arial"/>
          <w:bCs/>
          <w:lang w:val="en-GB"/>
        </w:rPr>
        <w:t xml:space="preserve">, Johor </w:t>
      </w:r>
      <w:proofErr w:type="spellStart"/>
      <w:r w:rsidRPr="004062FD">
        <w:rPr>
          <w:rFonts w:ascii="Arial" w:hAnsi="Arial" w:cs="Arial"/>
          <w:bCs/>
          <w:lang w:val="en-GB"/>
        </w:rPr>
        <w:t>me</w:t>
      </w:r>
      <w:r w:rsidR="002A45DA" w:rsidRPr="004062FD">
        <w:rPr>
          <w:rFonts w:ascii="Arial" w:hAnsi="Arial" w:cs="Arial"/>
          <w:bCs/>
          <w:lang w:val="en-GB"/>
        </w:rPr>
        <w:t>rekodkan</w:t>
      </w:r>
      <w:proofErr w:type="spellEnd"/>
      <w:r w:rsidR="002A45DA" w:rsidRPr="004062FD">
        <w:rPr>
          <w:rFonts w:ascii="Arial" w:hAnsi="Arial" w:cs="Arial"/>
          <w:bCs/>
          <w:lang w:val="en-GB"/>
        </w:rPr>
        <w:t xml:space="preserve"> </w:t>
      </w:r>
      <w:proofErr w:type="spellStart"/>
      <w:r w:rsidRPr="004062FD">
        <w:rPr>
          <w:rFonts w:ascii="Arial" w:hAnsi="Arial" w:cs="Arial"/>
          <w:bCs/>
          <w:lang w:val="en-GB"/>
        </w:rPr>
        <w:t>penurunan</w:t>
      </w:r>
      <w:proofErr w:type="spellEnd"/>
      <w:r w:rsidRPr="004062FD">
        <w:rPr>
          <w:rFonts w:ascii="Arial" w:hAnsi="Arial" w:cs="Arial"/>
          <w:bCs/>
          <w:lang w:val="en-GB"/>
        </w:rPr>
        <w:t xml:space="preserve"> </w:t>
      </w:r>
      <w:proofErr w:type="spellStart"/>
      <w:r w:rsidRPr="004062FD">
        <w:rPr>
          <w:rFonts w:ascii="Arial" w:hAnsi="Arial" w:cs="Arial"/>
          <w:bCs/>
          <w:lang w:val="en-GB"/>
        </w:rPr>
        <w:t>dalam</w:t>
      </w:r>
      <w:proofErr w:type="spellEnd"/>
      <w:r w:rsidRPr="004062FD">
        <w:rPr>
          <w:rFonts w:ascii="Arial" w:hAnsi="Arial" w:cs="Arial"/>
          <w:bCs/>
          <w:lang w:val="en-GB"/>
        </w:rPr>
        <w:t xml:space="preserve"> </w:t>
      </w:r>
      <w:proofErr w:type="spellStart"/>
      <w:r w:rsidRPr="004062FD">
        <w:rPr>
          <w:rFonts w:ascii="Arial" w:hAnsi="Arial" w:cs="Arial"/>
          <w:bCs/>
          <w:lang w:val="en-GB"/>
        </w:rPr>
        <w:t>aktiviti</w:t>
      </w:r>
      <w:proofErr w:type="spellEnd"/>
      <w:r w:rsidRPr="004062FD">
        <w:rPr>
          <w:rFonts w:ascii="Arial" w:hAnsi="Arial" w:cs="Arial"/>
          <w:bCs/>
          <w:lang w:val="en-GB"/>
        </w:rPr>
        <w:t xml:space="preserve"> </w:t>
      </w:r>
      <w:proofErr w:type="spellStart"/>
      <w:r w:rsidRPr="004062FD">
        <w:rPr>
          <w:rFonts w:ascii="Arial" w:hAnsi="Arial" w:cs="Arial"/>
          <w:bCs/>
          <w:lang w:val="en-GB"/>
        </w:rPr>
        <w:t>pasaran</w:t>
      </w:r>
      <w:proofErr w:type="spellEnd"/>
      <w:r w:rsidRPr="004062FD">
        <w:rPr>
          <w:rFonts w:ascii="Arial" w:hAnsi="Arial" w:cs="Arial"/>
          <w:bCs/>
          <w:lang w:val="en-GB"/>
        </w:rPr>
        <w:t xml:space="preserve"> </w:t>
      </w:r>
      <w:r w:rsidR="002A45DA" w:rsidRPr="004062FD">
        <w:rPr>
          <w:rFonts w:ascii="Arial" w:hAnsi="Arial" w:cs="Arial"/>
          <w:bCs/>
          <w:lang w:val="en-GB"/>
        </w:rPr>
        <w:t>pada</w:t>
      </w:r>
      <w:r w:rsidRPr="004062FD">
        <w:rPr>
          <w:rFonts w:ascii="Arial" w:hAnsi="Arial" w:cs="Arial"/>
          <w:bCs/>
          <w:lang w:val="en-GB"/>
        </w:rPr>
        <w:t xml:space="preserve"> 2.4%.</w:t>
      </w:r>
    </w:p>
    <w:p w14:paraId="396B54A0" w14:textId="39FF57C9" w:rsidR="00425F95" w:rsidRPr="004062FD" w:rsidRDefault="00DD0CFA" w:rsidP="00493BAF">
      <w:pPr>
        <w:pStyle w:val="ListParagraph"/>
        <w:numPr>
          <w:ilvl w:val="0"/>
          <w:numId w:val="14"/>
        </w:numPr>
        <w:spacing w:line="360" w:lineRule="auto"/>
        <w:jc w:val="both"/>
        <w:rPr>
          <w:rFonts w:ascii="Arial" w:hAnsi="Arial" w:cs="Arial"/>
          <w:lang w:val="ms-MY"/>
        </w:rPr>
      </w:pPr>
      <w:r w:rsidRPr="004062FD">
        <w:rPr>
          <w:rFonts w:ascii="Arial" w:hAnsi="Arial" w:cs="Arial"/>
          <w:lang w:val="ms-MY"/>
        </w:rPr>
        <w:lastRenderedPageBreak/>
        <w:t xml:space="preserve">Selangor </w:t>
      </w:r>
      <w:r w:rsidR="00493BAF" w:rsidRPr="004062FD">
        <w:rPr>
          <w:rFonts w:ascii="Arial" w:hAnsi="Arial" w:cs="Arial"/>
          <w:lang w:val="ms-MY"/>
        </w:rPr>
        <w:t>merupakan penyumbang</w:t>
      </w:r>
      <w:r w:rsidRPr="004062FD">
        <w:rPr>
          <w:rFonts w:ascii="Arial" w:hAnsi="Arial" w:cs="Arial"/>
          <w:lang w:val="ms-MY"/>
        </w:rPr>
        <w:t xml:space="preserve"> </w:t>
      </w:r>
      <w:r w:rsidR="005358ED" w:rsidRPr="004062FD">
        <w:rPr>
          <w:rFonts w:ascii="Arial" w:hAnsi="Arial" w:cs="Arial"/>
          <w:lang w:val="ms-MY"/>
        </w:rPr>
        <w:t xml:space="preserve">tertinggi dalam </w:t>
      </w:r>
      <w:r w:rsidR="00493BAF" w:rsidRPr="004062FD">
        <w:rPr>
          <w:rFonts w:ascii="Arial" w:hAnsi="Arial" w:cs="Arial"/>
          <w:lang w:val="ms-MY"/>
        </w:rPr>
        <w:t>bilangan</w:t>
      </w:r>
      <w:r w:rsidRPr="004062FD">
        <w:rPr>
          <w:rFonts w:ascii="Arial" w:hAnsi="Arial" w:cs="Arial"/>
          <w:lang w:val="ms-MY"/>
        </w:rPr>
        <w:t xml:space="preserve"> dan nilai </w:t>
      </w:r>
      <w:r w:rsidR="002A45DA" w:rsidRPr="004062FD">
        <w:rPr>
          <w:rFonts w:ascii="Arial" w:hAnsi="Arial" w:cs="Arial"/>
          <w:lang w:val="ms-MY"/>
        </w:rPr>
        <w:t xml:space="preserve">kepada </w:t>
      </w:r>
      <w:r w:rsidR="00BC0507" w:rsidRPr="004062FD">
        <w:rPr>
          <w:rFonts w:ascii="Arial" w:hAnsi="Arial" w:cs="Arial"/>
          <w:lang w:val="ms-MY"/>
        </w:rPr>
        <w:t xml:space="preserve">syer </w:t>
      </w:r>
      <w:r w:rsidRPr="004062FD">
        <w:rPr>
          <w:rFonts w:ascii="Arial" w:hAnsi="Arial" w:cs="Arial"/>
          <w:lang w:val="ms-MY"/>
        </w:rPr>
        <w:t xml:space="preserve">pasaran negara, dengan 24.5% </w:t>
      </w:r>
      <w:r w:rsidR="002A45DA" w:rsidRPr="004062FD">
        <w:rPr>
          <w:rFonts w:ascii="Arial" w:hAnsi="Arial" w:cs="Arial"/>
          <w:lang w:val="ms-MY"/>
        </w:rPr>
        <w:t xml:space="preserve">di </w:t>
      </w:r>
      <w:r w:rsidRPr="004062FD">
        <w:rPr>
          <w:rFonts w:ascii="Arial" w:hAnsi="Arial" w:cs="Arial"/>
          <w:lang w:val="ms-MY"/>
        </w:rPr>
        <w:t xml:space="preserve">dalam </w:t>
      </w:r>
      <w:r w:rsidR="00493BAF" w:rsidRPr="004062FD">
        <w:rPr>
          <w:rFonts w:ascii="Arial" w:hAnsi="Arial" w:cs="Arial"/>
          <w:lang w:val="ms-MY"/>
        </w:rPr>
        <w:t>bilangan</w:t>
      </w:r>
      <w:r w:rsidRPr="004062FD">
        <w:rPr>
          <w:rFonts w:ascii="Arial" w:hAnsi="Arial" w:cs="Arial"/>
          <w:lang w:val="ms-MY"/>
        </w:rPr>
        <w:t xml:space="preserve"> (48,755 </w:t>
      </w:r>
      <w:r w:rsidR="002A45DA" w:rsidRPr="004062FD">
        <w:rPr>
          <w:rFonts w:ascii="Arial" w:hAnsi="Arial" w:cs="Arial"/>
          <w:lang w:val="ms-MY"/>
        </w:rPr>
        <w:t>transaksi</w:t>
      </w:r>
      <w:r w:rsidRPr="004062FD">
        <w:rPr>
          <w:rFonts w:ascii="Arial" w:hAnsi="Arial" w:cs="Arial"/>
          <w:lang w:val="ms-MY"/>
        </w:rPr>
        <w:t xml:space="preserve">) dan 34.4% </w:t>
      </w:r>
      <w:r w:rsidR="002A45DA" w:rsidRPr="004062FD">
        <w:rPr>
          <w:rFonts w:ascii="Arial" w:hAnsi="Arial" w:cs="Arial"/>
          <w:lang w:val="ms-MY"/>
        </w:rPr>
        <w:t xml:space="preserve">di </w:t>
      </w:r>
      <w:r w:rsidRPr="004062FD">
        <w:rPr>
          <w:rFonts w:ascii="Arial" w:hAnsi="Arial" w:cs="Arial"/>
          <w:lang w:val="ms-MY"/>
        </w:rPr>
        <w:t xml:space="preserve">dalam nilai (RM26.49 bilion). WP Kuala Lumpur merekodkan 11,129 transaksi </w:t>
      </w:r>
      <w:r w:rsidR="00493BAF" w:rsidRPr="004062FD">
        <w:rPr>
          <w:rFonts w:ascii="Arial" w:hAnsi="Arial" w:cs="Arial"/>
          <w:lang w:val="ms-MY"/>
        </w:rPr>
        <w:t xml:space="preserve">dan </w:t>
      </w:r>
      <w:r w:rsidR="005358ED" w:rsidRPr="004062FD">
        <w:rPr>
          <w:rFonts w:ascii="Arial" w:hAnsi="Arial" w:cs="Arial"/>
          <w:lang w:val="ms-MY"/>
        </w:rPr>
        <w:t>merupakan</w:t>
      </w:r>
      <w:r w:rsidRPr="004062FD">
        <w:rPr>
          <w:rFonts w:ascii="Arial" w:hAnsi="Arial" w:cs="Arial"/>
          <w:lang w:val="ms-MY"/>
        </w:rPr>
        <w:t xml:space="preserve"> kedua tertinggi</w:t>
      </w:r>
      <w:r w:rsidR="005358ED" w:rsidRPr="004062FD">
        <w:rPr>
          <w:rFonts w:ascii="Arial" w:hAnsi="Arial" w:cs="Arial"/>
          <w:lang w:val="ms-MY"/>
        </w:rPr>
        <w:t xml:space="preserve"> di</w:t>
      </w:r>
      <w:r w:rsidRPr="004062FD">
        <w:rPr>
          <w:rFonts w:ascii="Arial" w:hAnsi="Arial" w:cs="Arial"/>
          <w:lang w:val="ms-MY"/>
        </w:rPr>
        <w:t xml:space="preserve"> </w:t>
      </w:r>
      <w:r w:rsidR="00493BAF" w:rsidRPr="004062FD">
        <w:rPr>
          <w:rFonts w:ascii="Arial" w:hAnsi="Arial" w:cs="Arial"/>
          <w:lang w:val="ms-MY"/>
        </w:rPr>
        <w:t xml:space="preserve">dalam nilai </w:t>
      </w:r>
      <w:r w:rsidRPr="004062FD">
        <w:rPr>
          <w:rFonts w:ascii="Arial" w:hAnsi="Arial" w:cs="Arial"/>
          <w:lang w:val="ms-MY"/>
        </w:rPr>
        <w:t>pada RM9.69 bilion, me</w:t>
      </w:r>
      <w:r w:rsidR="005358ED" w:rsidRPr="004062FD">
        <w:rPr>
          <w:rFonts w:ascii="Arial" w:hAnsi="Arial" w:cs="Arial"/>
          <w:lang w:val="ms-MY"/>
        </w:rPr>
        <w:t xml:space="preserve">liputi </w:t>
      </w:r>
      <w:r w:rsidRPr="004062FD">
        <w:rPr>
          <w:rFonts w:ascii="Arial" w:hAnsi="Arial" w:cs="Arial"/>
          <w:lang w:val="ms-MY"/>
        </w:rPr>
        <w:t xml:space="preserve">12.6% daripada </w:t>
      </w:r>
      <w:r w:rsidR="00BC0507" w:rsidRPr="004062FD">
        <w:rPr>
          <w:rFonts w:ascii="Arial" w:hAnsi="Arial" w:cs="Arial"/>
          <w:lang w:val="ms-MY"/>
        </w:rPr>
        <w:t>syer</w:t>
      </w:r>
      <w:r w:rsidRPr="004062FD">
        <w:rPr>
          <w:rFonts w:ascii="Arial" w:hAnsi="Arial" w:cs="Arial"/>
          <w:lang w:val="ms-MY"/>
        </w:rPr>
        <w:t xml:space="preserve"> pasaran.</w:t>
      </w:r>
    </w:p>
    <w:p w14:paraId="5C74E81E" w14:textId="77777777" w:rsidR="00DD0CFA" w:rsidRPr="004062FD" w:rsidRDefault="00DD0CFA" w:rsidP="00DD0CFA">
      <w:pPr>
        <w:pStyle w:val="ListParagraph"/>
        <w:rPr>
          <w:rFonts w:ascii="Arial" w:hAnsi="Arial" w:cs="Arial"/>
          <w:color w:val="FF0000"/>
          <w:lang w:val="ms-MY"/>
        </w:rPr>
      </w:pPr>
    </w:p>
    <w:p w14:paraId="69AC98C0" w14:textId="27BAEB4B" w:rsidR="00425F95" w:rsidRPr="004062FD" w:rsidRDefault="00B90F66" w:rsidP="001542D3">
      <w:pPr>
        <w:pStyle w:val="ListParagraph"/>
        <w:numPr>
          <w:ilvl w:val="0"/>
          <w:numId w:val="14"/>
        </w:numPr>
        <w:spacing w:line="360" w:lineRule="auto"/>
        <w:jc w:val="both"/>
        <w:rPr>
          <w:rFonts w:ascii="Arial" w:eastAsia="Times New Roman" w:hAnsi="Arial" w:cs="Arial"/>
          <w:bCs/>
          <w:lang w:val="en-GB"/>
        </w:rPr>
      </w:pPr>
      <w:proofErr w:type="spellStart"/>
      <w:r w:rsidRPr="004062FD">
        <w:rPr>
          <w:rFonts w:ascii="Arial" w:eastAsia="Times New Roman" w:hAnsi="Arial" w:cs="Arial"/>
          <w:bCs/>
          <w:lang w:val="en-GB"/>
        </w:rPr>
        <w:t>Permintaan</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terus</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tertumpu</w:t>
      </w:r>
      <w:proofErr w:type="spellEnd"/>
      <w:r w:rsidRPr="004062FD">
        <w:rPr>
          <w:rFonts w:ascii="Arial" w:eastAsia="Times New Roman" w:hAnsi="Arial" w:cs="Arial"/>
          <w:bCs/>
          <w:lang w:val="en-GB"/>
        </w:rPr>
        <w:t xml:space="preserve"> </w:t>
      </w:r>
      <w:proofErr w:type="spellStart"/>
      <w:r w:rsidR="005358ED" w:rsidRPr="004062FD">
        <w:rPr>
          <w:rFonts w:ascii="Arial" w:eastAsia="Times New Roman" w:hAnsi="Arial" w:cs="Arial"/>
          <w:bCs/>
          <w:lang w:val="en-GB"/>
        </w:rPr>
        <w:t>kepada</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rumah</w:t>
      </w:r>
      <w:proofErr w:type="spellEnd"/>
      <w:r w:rsidRPr="004062FD">
        <w:rPr>
          <w:rFonts w:ascii="Arial" w:eastAsia="Times New Roman" w:hAnsi="Arial" w:cs="Arial"/>
          <w:bCs/>
          <w:lang w:val="en-GB"/>
        </w:rPr>
        <w:t xml:space="preserve"> teres, </w:t>
      </w:r>
      <w:proofErr w:type="spellStart"/>
      <w:r w:rsidRPr="004062FD">
        <w:rPr>
          <w:rFonts w:ascii="Arial" w:eastAsia="Times New Roman" w:hAnsi="Arial" w:cs="Arial"/>
          <w:bCs/>
          <w:lang w:val="en-GB"/>
        </w:rPr>
        <w:t>membentuk</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kira-kira</w:t>
      </w:r>
      <w:proofErr w:type="spellEnd"/>
      <w:r w:rsidRPr="004062FD">
        <w:rPr>
          <w:rFonts w:ascii="Arial" w:eastAsia="Times New Roman" w:hAnsi="Arial" w:cs="Arial"/>
          <w:bCs/>
          <w:lang w:val="en-GB"/>
        </w:rPr>
        <w:t xml:space="preserve"> 43% </w:t>
      </w:r>
      <w:proofErr w:type="spellStart"/>
      <w:r w:rsidRPr="004062FD">
        <w:rPr>
          <w:rFonts w:ascii="Arial" w:eastAsia="Times New Roman" w:hAnsi="Arial" w:cs="Arial"/>
          <w:bCs/>
          <w:lang w:val="en-GB"/>
        </w:rPr>
        <w:t>daripada</w:t>
      </w:r>
      <w:proofErr w:type="spellEnd"/>
      <w:r w:rsidRPr="004062FD">
        <w:rPr>
          <w:rFonts w:ascii="Arial" w:eastAsia="Times New Roman" w:hAnsi="Arial" w:cs="Arial"/>
          <w:bCs/>
          <w:lang w:val="en-GB"/>
        </w:rPr>
        <w:t xml:space="preserve"> </w:t>
      </w:r>
      <w:proofErr w:type="spellStart"/>
      <w:r w:rsidR="005358ED" w:rsidRPr="004062FD">
        <w:rPr>
          <w:rFonts w:ascii="Arial" w:eastAsia="Times New Roman" w:hAnsi="Arial" w:cs="Arial"/>
          <w:bCs/>
          <w:lang w:val="en-GB"/>
        </w:rPr>
        <w:t>keseluruhan</w:t>
      </w:r>
      <w:proofErr w:type="spellEnd"/>
      <w:r w:rsidR="005358ED" w:rsidRPr="004062FD">
        <w:rPr>
          <w:rFonts w:ascii="Arial" w:eastAsia="Times New Roman" w:hAnsi="Arial" w:cs="Arial"/>
          <w:bCs/>
          <w:lang w:val="en-GB"/>
        </w:rPr>
        <w:t xml:space="preserve"> </w:t>
      </w:r>
      <w:proofErr w:type="spellStart"/>
      <w:r w:rsidR="005358ED" w:rsidRPr="004062FD">
        <w:rPr>
          <w:rFonts w:ascii="Arial" w:eastAsia="Times New Roman" w:hAnsi="Arial" w:cs="Arial"/>
          <w:bCs/>
          <w:lang w:val="en-GB"/>
        </w:rPr>
        <w:t>transaksi</w:t>
      </w:r>
      <w:proofErr w:type="spellEnd"/>
      <w:r w:rsidR="005358ED"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kediaman</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diikuti</w:t>
      </w:r>
      <w:proofErr w:type="spellEnd"/>
      <w:r w:rsidRPr="004062FD">
        <w:rPr>
          <w:rFonts w:ascii="Arial" w:eastAsia="Times New Roman" w:hAnsi="Arial" w:cs="Arial"/>
          <w:bCs/>
          <w:lang w:val="en-GB"/>
        </w:rPr>
        <w:t xml:space="preserve"> oleh </w:t>
      </w:r>
      <w:r w:rsidR="00493BAF" w:rsidRPr="004062FD">
        <w:rPr>
          <w:rFonts w:ascii="Arial" w:eastAsia="Times New Roman" w:hAnsi="Arial" w:cs="Arial"/>
          <w:bCs/>
          <w:lang w:val="en-GB"/>
        </w:rPr>
        <w:t>plot</w:t>
      </w:r>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kosong</w:t>
      </w:r>
      <w:proofErr w:type="spellEnd"/>
      <w:r w:rsidRPr="004062FD">
        <w:rPr>
          <w:rFonts w:ascii="Arial" w:eastAsia="Times New Roman" w:hAnsi="Arial" w:cs="Arial"/>
          <w:bCs/>
          <w:lang w:val="en-GB"/>
        </w:rPr>
        <w:t xml:space="preserve"> dan unit </w:t>
      </w:r>
      <w:proofErr w:type="spellStart"/>
      <w:r w:rsidRPr="004062FD">
        <w:rPr>
          <w:rFonts w:ascii="Arial" w:eastAsia="Times New Roman" w:hAnsi="Arial" w:cs="Arial"/>
          <w:bCs/>
          <w:lang w:val="en-GB"/>
        </w:rPr>
        <w:t>bertingkat</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tinggi</w:t>
      </w:r>
      <w:proofErr w:type="spellEnd"/>
      <w:r w:rsidRPr="004062FD">
        <w:rPr>
          <w:rFonts w:ascii="Arial" w:eastAsia="Times New Roman" w:hAnsi="Arial" w:cs="Arial"/>
          <w:bCs/>
          <w:lang w:val="en-GB"/>
        </w:rPr>
        <w:t xml:space="preserve">, masing-masing </w:t>
      </w:r>
      <w:proofErr w:type="spellStart"/>
      <w:r w:rsidRPr="004062FD">
        <w:rPr>
          <w:rFonts w:ascii="Arial" w:eastAsia="Times New Roman" w:hAnsi="Arial" w:cs="Arial"/>
          <w:bCs/>
          <w:lang w:val="en-GB"/>
        </w:rPr>
        <w:t>hampir</w:t>
      </w:r>
      <w:proofErr w:type="spellEnd"/>
      <w:r w:rsidR="005358ED" w:rsidRPr="004062FD">
        <w:rPr>
          <w:rFonts w:ascii="Arial" w:eastAsia="Times New Roman" w:hAnsi="Arial" w:cs="Arial"/>
          <w:bCs/>
          <w:lang w:val="en-GB"/>
        </w:rPr>
        <w:t xml:space="preserve"> pada</w:t>
      </w:r>
      <w:r w:rsidRPr="004062FD">
        <w:rPr>
          <w:rFonts w:ascii="Arial" w:eastAsia="Times New Roman" w:hAnsi="Arial" w:cs="Arial"/>
          <w:bCs/>
          <w:lang w:val="en-GB"/>
        </w:rPr>
        <w:t xml:space="preserve"> 15%</w:t>
      </w:r>
      <w:r w:rsidR="005358ED" w:rsidRPr="004062FD">
        <w:rPr>
          <w:rFonts w:ascii="Arial" w:eastAsia="Times New Roman" w:hAnsi="Arial" w:cs="Arial"/>
          <w:bCs/>
          <w:lang w:val="en-GB"/>
        </w:rPr>
        <w:t xml:space="preserve"> </w:t>
      </w:r>
      <w:proofErr w:type="spellStart"/>
      <w:r w:rsidR="005358ED" w:rsidRPr="004062FD">
        <w:rPr>
          <w:rFonts w:ascii="Arial" w:eastAsia="Times New Roman" w:hAnsi="Arial" w:cs="Arial"/>
          <w:bCs/>
          <w:lang w:val="en-GB"/>
        </w:rPr>
        <w:t>daripada</w:t>
      </w:r>
      <w:proofErr w:type="spellEnd"/>
      <w:r w:rsidR="005358ED"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bahagian</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pasaran</w:t>
      </w:r>
      <w:proofErr w:type="spellEnd"/>
      <w:r w:rsidRPr="004062FD">
        <w:rPr>
          <w:rFonts w:ascii="Arial" w:eastAsia="Times New Roman" w:hAnsi="Arial" w:cs="Arial"/>
          <w:bCs/>
          <w:lang w:val="en-GB"/>
        </w:rPr>
        <w:t xml:space="preserve">. </w:t>
      </w:r>
      <w:proofErr w:type="spellStart"/>
      <w:r w:rsidR="001542D3" w:rsidRPr="004062FD">
        <w:rPr>
          <w:rFonts w:ascii="Arial" w:eastAsia="Times New Roman" w:hAnsi="Arial" w:cs="Arial"/>
          <w:bCs/>
          <w:lang w:val="en-GB"/>
        </w:rPr>
        <w:t>Kediaman</w:t>
      </w:r>
      <w:proofErr w:type="spellEnd"/>
      <w:r w:rsidR="001542D3"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mampu</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milik</w:t>
      </w:r>
      <w:proofErr w:type="spellEnd"/>
      <w:r w:rsidRPr="004062FD">
        <w:rPr>
          <w:rFonts w:ascii="Arial" w:eastAsia="Times New Roman" w:hAnsi="Arial" w:cs="Arial"/>
          <w:bCs/>
          <w:lang w:val="en-GB"/>
        </w:rPr>
        <w:t xml:space="preserve"> </w:t>
      </w:r>
      <w:proofErr w:type="spellStart"/>
      <w:r w:rsidR="001542D3" w:rsidRPr="004062FD">
        <w:rPr>
          <w:rFonts w:ascii="Arial" w:eastAsia="Times New Roman" w:hAnsi="Arial" w:cs="Arial"/>
          <w:bCs/>
          <w:lang w:val="en-GB"/>
        </w:rPr>
        <w:t>dengan</w:t>
      </w:r>
      <w:proofErr w:type="spellEnd"/>
      <w:r w:rsidR="001542D3" w:rsidRPr="004062FD">
        <w:rPr>
          <w:rFonts w:ascii="Arial" w:eastAsia="Times New Roman" w:hAnsi="Arial" w:cs="Arial"/>
          <w:bCs/>
          <w:lang w:val="en-GB"/>
        </w:rPr>
        <w:t xml:space="preserve"> </w:t>
      </w:r>
      <w:proofErr w:type="spellStart"/>
      <w:r w:rsidR="0009696B" w:rsidRPr="004062FD">
        <w:rPr>
          <w:rFonts w:ascii="Arial" w:eastAsia="Times New Roman" w:hAnsi="Arial" w:cs="Arial"/>
          <w:bCs/>
          <w:lang w:val="en-GB"/>
        </w:rPr>
        <w:t>linkungan</w:t>
      </w:r>
      <w:proofErr w:type="spellEnd"/>
      <w:r w:rsidR="0009696B" w:rsidRPr="004062FD">
        <w:rPr>
          <w:rFonts w:ascii="Arial" w:eastAsia="Times New Roman" w:hAnsi="Arial" w:cs="Arial"/>
          <w:bCs/>
          <w:lang w:val="en-GB"/>
        </w:rPr>
        <w:t xml:space="preserve"> </w:t>
      </w:r>
      <w:proofErr w:type="spellStart"/>
      <w:r w:rsidR="0009696B" w:rsidRPr="004062FD">
        <w:rPr>
          <w:rFonts w:ascii="Arial" w:eastAsia="Times New Roman" w:hAnsi="Arial" w:cs="Arial"/>
          <w:bCs/>
          <w:lang w:val="en-GB"/>
        </w:rPr>
        <w:t>h</w:t>
      </w:r>
      <w:r w:rsidR="001542D3" w:rsidRPr="004062FD">
        <w:rPr>
          <w:rFonts w:ascii="Arial" w:eastAsia="Times New Roman" w:hAnsi="Arial" w:cs="Arial"/>
          <w:bCs/>
          <w:lang w:val="en-GB"/>
        </w:rPr>
        <w:t>arga</w:t>
      </w:r>
      <w:proofErr w:type="spellEnd"/>
      <w:r w:rsidR="001542D3" w:rsidRPr="004062FD">
        <w:rPr>
          <w:rFonts w:ascii="Arial" w:eastAsia="Times New Roman" w:hAnsi="Arial" w:cs="Arial"/>
          <w:bCs/>
          <w:lang w:val="en-GB"/>
        </w:rPr>
        <w:t xml:space="preserve"> </w:t>
      </w:r>
      <w:r w:rsidRPr="004062FD">
        <w:rPr>
          <w:rFonts w:ascii="Arial" w:eastAsia="Times New Roman" w:hAnsi="Arial" w:cs="Arial"/>
          <w:bCs/>
          <w:lang w:val="en-GB"/>
        </w:rPr>
        <w:t xml:space="preserve">RM300,000 dan </w:t>
      </w:r>
      <w:proofErr w:type="spellStart"/>
      <w:r w:rsidRPr="004062FD">
        <w:rPr>
          <w:rFonts w:ascii="Arial" w:eastAsia="Times New Roman" w:hAnsi="Arial" w:cs="Arial"/>
          <w:bCs/>
          <w:lang w:val="en-GB"/>
        </w:rPr>
        <w:t>ke</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bawah</w:t>
      </w:r>
      <w:proofErr w:type="spellEnd"/>
      <w:r w:rsidRPr="004062FD">
        <w:rPr>
          <w:rFonts w:ascii="Arial" w:eastAsia="Times New Roman" w:hAnsi="Arial" w:cs="Arial"/>
          <w:bCs/>
          <w:lang w:val="en-GB"/>
        </w:rPr>
        <w:t xml:space="preserve"> </w:t>
      </w:r>
      <w:proofErr w:type="spellStart"/>
      <w:r w:rsidR="0009696B" w:rsidRPr="004062FD">
        <w:rPr>
          <w:rFonts w:ascii="Arial" w:eastAsia="Times New Roman" w:hAnsi="Arial" w:cs="Arial"/>
          <w:bCs/>
          <w:lang w:val="en-GB"/>
        </w:rPr>
        <w:t>membentuk</w:t>
      </w:r>
      <w:proofErr w:type="spellEnd"/>
      <w:r w:rsidR="0009696B" w:rsidRPr="004062FD">
        <w:rPr>
          <w:rFonts w:ascii="Arial" w:eastAsia="Times New Roman" w:hAnsi="Arial" w:cs="Arial"/>
          <w:bCs/>
          <w:lang w:val="en-GB"/>
        </w:rPr>
        <w:t xml:space="preserve"> </w:t>
      </w:r>
      <w:r w:rsidRPr="004062FD">
        <w:rPr>
          <w:rFonts w:ascii="Arial" w:eastAsia="Times New Roman" w:hAnsi="Arial" w:cs="Arial"/>
          <w:bCs/>
          <w:lang w:val="en-GB"/>
        </w:rPr>
        <w:t xml:space="preserve">55.9% </w:t>
      </w:r>
      <w:proofErr w:type="spellStart"/>
      <w:r w:rsidRPr="004062FD">
        <w:rPr>
          <w:rFonts w:ascii="Arial" w:eastAsia="Times New Roman" w:hAnsi="Arial" w:cs="Arial"/>
          <w:bCs/>
          <w:lang w:val="en-GB"/>
        </w:rPr>
        <w:t>daripada</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jumlah</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keseluruhan</w:t>
      </w:r>
      <w:proofErr w:type="spellEnd"/>
      <w:r w:rsidRPr="004062FD">
        <w:rPr>
          <w:rFonts w:ascii="Arial" w:eastAsia="Times New Roman" w:hAnsi="Arial" w:cs="Arial"/>
          <w:bCs/>
          <w:lang w:val="en-GB"/>
        </w:rPr>
        <w:t xml:space="preserve">, </w:t>
      </w:r>
      <w:proofErr w:type="spellStart"/>
      <w:r w:rsidRPr="004062FD">
        <w:rPr>
          <w:rFonts w:ascii="Arial" w:eastAsia="Times New Roman" w:hAnsi="Arial" w:cs="Arial"/>
          <w:bCs/>
          <w:lang w:val="en-GB"/>
        </w:rPr>
        <w:t>diikuti</w:t>
      </w:r>
      <w:proofErr w:type="spellEnd"/>
      <w:r w:rsidRPr="004062FD">
        <w:rPr>
          <w:rFonts w:ascii="Arial" w:eastAsia="Times New Roman" w:hAnsi="Arial" w:cs="Arial"/>
          <w:bCs/>
          <w:lang w:val="en-GB"/>
        </w:rPr>
        <w:t xml:space="preserve"> oleh RM300,001 </w:t>
      </w:r>
      <w:proofErr w:type="spellStart"/>
      <w:r w:rsidRPr="004062FD">
        <w:rPr>
          <w:rFonts w:ascii="Arial" w:eastAsia="Times New Roman" w:hAnsi="Arial" w:cs="Arial"/>
          <w:bCs/>
          <w:lang w:val="en-GB"/>
        </w:rPr>
        <w:t>hingga</w:t>
      </w:r>
      <w:proofErr w:type="spellEnd"/>
      <w:r w:rsidRPr="004062FD">
        <w:rPr>
          <w:rFonts w:ascii="Arial" w:eastAsia="Times New Roman" w:hAnsi="Arial" w:cs="Arial"/>
          <w:bCs/>
          <w:lang w:val="en-GB"/>
        </w:rPr>
        <w:t xml:space="preserve"> RM500,000 (24.6%), RM501,000 - RM1,000,000 (14.8%) dan </w:t>
      </w:r>
      <w:proofErr w:type="spellStart"/>
      <w:r w:rsidRPr="004062FD">
        <w:rPr>
          <w:rFonts w:ascii="Arial" w:eastAsia="Times New Roman" w:hAnsi="Arial" w:cs="Arial"/>
          <w:bCs/>
          <w:lang w:val="en-GB"/>
        </w:rPr>
        <w:t>lebih</w:t>
      </w:r>
      <w:proofErr w:type="spellEnd"/>
      <w:r w:rsidRPr="004062FD">
        <w:rPr>
          <w:rFonts w:ascii="Arial" w:eastAsia="Times New Roman" w:hAnsi="Arial" w:cs="Arial"/>
          <w:bCs/>
          <w:lang w:val="en-GB"/>
        </w:rPr>
        <w:t xml:space="preserve"> </w:t>
      </w:r>
      <w:proofErr w:type="spellStart"/>
      <w:r w:rsidR="0009696B" w:rsidRPr="004062FD">
        <w:rPr>
          <w:rFonts w:ascii="Arial" w:eastAsia="Times New Roman" w:hAnsi="Arial" w:cs="Arial"/>
          <w:bCs/>
          <w:lang w:val="en-GB"/>
        </w:rPr>
        <w:t>daripada</w:t>
      </w:r>
      <w:proofErr w:type="spellEnd"/>
      <w:r w:rsidR="0009696B" w:rsidRPr="004062FD">
        <w:rPr>
          <w:rFonts w:ascii="Arial" w:eastAsia="Times New Roman" w:hAnsi="Arial" w:cs="Arial"/>
          <w:bCs/>
          <w:lang w:val="en-GB"/>
        </w:rPr>
        <w:t xml:space="preserve"> </w:t>
      </w:r>
      <w:r w:rsidRPr="004062FD">
        <w:rPr>
          <w:rFonts w:ascii="Arial" w:eastAsia="Times New Roman" w:hAnsi="Arial" w:cs="Arial"/>
          <w:bCs/>
          <w:lang w:val="en-GB"/>
        </w:rPr>
        <w:t>RM1,000,000 (4.8 %).</w:t>
      </w:r>
    </w:p>
    <w:p w14:paraId="07E18256" w14:textId="77777777" w:rsidR="00B90F66" w:rsidRPr="004062FD" w:rsidRDefault="00B90F66" w:rsidP="00B90F66">
      <w:pPr>
        <w:pStyle w:val="ListParagraph"/>
        <w:rPr>
          <w:rFonts w:ascii="Arial" w:hAnsi="Arial" w:cs="Arial"/>
          <w:color w:val="FF0000"/>
          <w:lang w:val="ms-MY"/>
        </w:rPr>
      </w:pPr>
    </w:p>
    <w:p w14:paraId="533AAD40" w14:textId="7744F086" w:rsidR="00B90F66" w:rsidRPr="004062FD" w:rsidRDefault="00B90F66" w:rsidP="00BC0507">
      <w:pPr>
        <w:pStyle w:val="ListParagraph"/>
        <w:numPr>
          <w:ilvl w:val="0"/>
          <w:numId w:val="14"/>
        </w:numPr>
        <w:spacing w:line="360" w:lineRule="auto"/>
        <w:jc w:val="both"/>
        <w:rPr>
          <w:rFonts w:ascii="Arial" w:hAnsi="Arial" w:cs="Arial"/>
          <w:lang w:val="ms-MY"/>
        </w:rPr>
      </w:pPr>
      <w:r w:rsidRPr="004062FD">
        <w:rPr>
          <w:rFonts w:ascii="Arial" w:hAnsi="Arial" w:cs="Arial"/>
          <w:lang w:val="ms-MY"/>
        </w:rPr>
        <w:t xml:space="preserve">Pasaran utama menyaksikan </w:t>
      </w:r>
      <w:r w:rsidR="0009696B" w:rsidRPr="004062FD">
        <w:rPr>
          <w:rFonts w:ascii="Arial" w:hAnsi="Arial" w:cs="Arial"/>
          <w:lang w:val="ms-MY"/>
        </w:rPr>
        <w:t xml:space="preserve">Pelancaran Baharu yang </w:t>
      </w:r>
      <w:r w:rsidR="001542D3" w:rsidRPr="004062FD">
        <w:rPr>
          <w:rFonts w:ascii="Arial" w:hAnsi="Arial" w:cs="Arial"/>
          <w:lang w:val="ms-MY"/>
        </w:rPr>
        <w:t>semakin berkurangan</w:t>
      </w:r>
      <w:r w:rsidRPr="004062FD">
        <w:rPr>
          <w:rFonts w:ascii="Arial" w:hAnsi="Arial" w:cs="Arial"/>
          <w:lang w:val="ms-MY"/>
        </w:rPr>
        <w:t>. Terdapat hampir 44,000 unit dilancarkan pada 2021, berbanding 47,178 unit pada 2020. Penurunan i</w:t>
      </w:r>
      <w:r w:rsidR="00C26FFD" w:rsidRPr="004062FD">
        <w:rPr>
          <w:rFonts w:ascii="Arial" w:hAnsi="Arial" w:cs="Arial"/>
          <w:lang w:val="ms-MY"/>
        </w:rPr>
        <w:t>ni</w:t>
      </w:r>
      <w:r w:rsidRPr="004062FD">
        <w:rPr>
          <w:rFonts w:ascii="Arial" w:hAnsi="Arial" w:cs="Arial"/>
          <w:lang w:val="ms-MY"/>
        </w:rPr>
        <w:t xml:space="preserve"> </w:t>
      </w:r>
      <w:r w:rsidR="00DB4434" w:rsidRPr="004062FD">
        <w:rPr>
          <w:rFonts w:ascii="Arial" w:hAnsi="Arial" w:cs="Arial"/>
          <w:lang w:val="ms-MY"/>
        </w:rPr>
        <w:t xml:space="preserve">telah </w:t>
      </w:r>
      <w:r w:rsidRPr="004062FD">
        <w:rPr>
          <w:rFonts w:ascii="Arial" w:hAnsi="Arial" w:cs="Arial"/>
          <w:lang w:val="ms-MY"/>
        </w:rPr>
        <w:t>dijangka</w:t>
      </w:r>
      <w:r w:rsidR="00DB4434" w:rsidRPr="004062FD">
        <w:rPr>
          <w:rFonts w:ascii="Arial" w:hAnsi="Arial" w:cs="Arial"/>
          <w:lang w:val="ms-MY"/>
        </w:rPr>
        <w:t>kan</w:t>
      </w:r>
      <w:r w:rsidR="001542D3" w:rsidRPr="004062FD">
        <w:rPr>
          <w:rFonts w:ascii="Arial" w:hAnsi="Arial" w:cs="Arial"/>
          <w:lang w:val="ms-MY"/>
        </w:rPr>
        <w:t xml:space="preserve"> </w:t>
      </w:r>
      <w:r w:rsidR="00DB4434" w:rsidRPr="004062FD">
        <w:rPr>
          <w:rFonts w:ascii="Arial" w:hAnsi="Arial" w:cs="Arial"/>
          <w:lang w:val="ms-MY"/>
        </w:rPr>
        <w:t xml:space="preserve">kerana </w:t>
      </w:r>
      <w:r w:rsidRPr="004062FD">
        <w:rPr>
          <w:rFonts w:ascii="Arial" w:hAnsi="Arial" w:cs="Arial"/>
          <w:lang w:val="ms-MY"/>
        </w:rPr>
        <w:t>pemaju</w:t>
      </w:r>
      <w:r w:rsidR="00BC0507" w:rsidRPr="004062FD">
        <w:rPr>
          <w:rFonts w:ascii="Arial" w:hAnsi="Arial" w:cs="Arial"/>
          <w:lang w:val="ms-MY"/>
        </w:rPr>
        <w:t xml:space="preserve"> terpaksa</w:t>
      </w:r>
      <w:r w:rsidRPr="004062FD">
        <w:rPr>
          <w:rFonts w:ascii="Arial" w:hAnsi="Arial" w:cs="Arial"/>
          <w:lang w:val="ms-MY"/>
        </w:rPr>
        <w:t xml:space="preserve"> menahan </w:t>
      </w:r>
      <w:r w:rsidR="00DB4434" w:rsidRPr="004062FD">
        <w:rPr>
          <w:rFonts w:ascii="Arial" w:hAnsi="Arial" w:cs="Arial"/>
          <w:lang w:val="ms-MY"/>
        </w:rPr>
        <w:t xml:space="preserve">Pelancaran Baharu </w:t>
      </w:r>
      <w:r w:rsidRPr="004062FD">
        <w:rPr>
          <w:rFonts w:ascii="Arial" w:hAnsi="Arial" w:cs="Arial"/>
          <w:lang w:val="ms-MY"/>
        </w:rPr>
        <w:t xml:space="preserve">berikutan pasaran </w:t>
      </w:r>
      <w:r w:rsidR="00BC0507" w:rsidRPr="004062FD">
        <w:rPr>
          <w:rFonts w:ascii="Arial" w:hAnsi="Arial" w:cs="Arial"/>
          <w:lang w:val="ms-MY"/>
        </w:rPr>
        <w:t>harta tanah</w:t>
      </w:r>
      <w:r w:rsidRPr="004062FD">
        <w:rPr>
          <w:rFonts w:ascii="Arial" w:hAnsi="Arial" w:cs="Arial"/>
          <w:lang w:val="ms-MY"/>
        </w:rPr>
        <w:t xml:space="preserve"> yang </w:t>
      </w:r>
      <w:r w:rsidR="00DB4434" w:rsidRPr="004062FD">
        <w:rPr>
          <w:rFonts w:ascii="Arial" w:hAnsi="Arial" w:cs="Arial"/>
          <w:lang w:val="ms-MY"/>
        </w:rPr>
        <w:t xml:space="preserve">perlahan </w:t>
      </w:r>
      <w:r w:rsidRPr="004062FD">
        <w:rPr>
          <w:rFonts w:ascii="Arial" w:hAnsi="Arial" w:cs="Arial"/>
          <w:lang w:val="ms-MY"/>
        </w:rPr>
        <w:t xml:space="preserve">dan peningkatan </w:t>
      </w:r>
      <w:r w:rsidR="00DB4434" w:rsidRPr="004062FD">
        <w:rPr>
          <w:rFonts w:ascii="Arial" w:hAnsi="Arial" w:cs="Arial"/>
          <w:lang w:val="ms-MY"/>
        </w:rPr>
        <w:t xml:space="preserve">bilangan dalam </w:t>
      </w:r>
      <w:r w:rsidRPr="004062FD">
        <w:rPr>
          <w:rFonts w:ascii="Arial" w:hAnsi="Arial" w:cs="Arial"/>
          <w:lang w:val="ms-MY"/>
        </w:rPr>
        <w:t>inventori tidak terjual. Prestasi jualan adalah</w:t>
      </w:r>
      <w:r w:rsidR="00BC0507" w:rsidRPr="004062FD">
        <w:rPr>
          <w:rFonts w:ascii="Arial" w:hAnsi="Arial" w:cs="Arial"/>
          <w:lang w:val="ms-MY"/>
        </w:rPr>
        <w:t xml:space="preserve"> </w:t>
      </w:r>
      <w:r w:rsidRPr="004062FD">
        <w:rPr>
          <w:rFonts w:ascii="Arial" w:hAnsi="Arial" w:cs="Arial"/>
          <w:lang w:val="ms-MY"/>
        </w:rPr>
        <w:t xml:space="preserve">sederhana </w:t>
      </w:r>
      <w:r w:rsidR="00BC0507" w:rsidRPr="004062FD">
        <w:rPr>
          <w:rFonts w:ascii="Arial" w:hAnsi="Arial" w:cs="Arial"/>
          <w:lang w:val="ms-MY"/>
        </w:rPr>
        <w:t xml:space="preserve">iaitu </w:t>
      </w:r>
      <w:r w:rsidRPr="004062FD">
        <w:rPr>
          <w:rFonts w:ascii="Arial" w:hAnsi="Arial" w:cs="Arial"/>
          <w:lang w:val="ms-MY"/>
        </w:rPr>
        <w:t>39.3% pada 2021.</w:t>
      </w:r>
    </w:p>
    <w:p w14:paraId="1984AC00" w14:textId="77777777" w:rsidR="00B90F66" w:rsidRPr="004062FD" w:rsidRDefault="00B90F66" w:rsidP="00B90F66">
      <w:pPr>
        <w:pStyle w:val="ListParagraph"/>
        <w:rPr>
          <w:rFonts w:ascii="Arial" w:hAnsi="Arial" w:cs="Arial"/>
          <w:color w:val="FF0000"/>
          <w:lang w:val="ms-MY"/>
        </w:rPr>
      </w:pPr>
    </w:p>
    <w:p w14:paraId="767D2C29" w14:textId="40EA53FC" w:rsidR="00425F95" w:rsidRPr="004062FD" w:rsidRDefault="00B90F66" w:rsidP="00BC0507">
      <w:pPr>
        <w:pStyle w:val="ListParagraph"/>
        <w:numPr>
          <w:ilvl w:val="0"/>
          <w:numId w:val="14"/>
        </w:numPr>
        <w:spacing w:line="360" w:lineRule="auto"/>
        <w:jc w:val="both"/>
        <w:rPr>
          <w:rFonts w:ascii="Arial" w:hAnsi="Arial" w:cs="Arial"/>
          <w:lang w:val="ms-MY"/>
        </w:rPr>
      </w:pPr>
      <w:r w:rsidRPr="004062FD">
        <w:rPr>
          <w:rFonts w:ascii="Arial" w:hAnsi="Arial" w:cs="Arial"/>
          <w:bCs/>
          <w:lang w:val="en-GB"/>
        </w:rPr>
        <w:t xml:space="preserve">Selangor </w:t>
      </w:r>
      <w:proofErr w:type="spellStart"/>
      <w:r w:rsidRPr="004062FD">
        <w:rPr>
          <w:rFonts w:ascii="Arial" w:hAnsi="Arial" w:cs="Arial"/>
          <w:bCs/>
          <w:lang w:val="en-GB"/>
        </w:rPr>
        <w:t>me</w:t>
      </w:r>
      <w:r w:rsidR="00DB4434" w:rsidRPr="004062FD">
        <w:rPr>
          <w:rFonts w:ascii="Arial" w:hAnsi="Arial" w:cs="Arial"/>
          <w:bCs/>
          <w:lang w:val="en-GB"/>
        </w:rPr>
        <w:t>rekodkan</w:t>
      </w:r>
      <w:proofErr w:type="spellEnd"/>
      <w:r w:rsidR="00DB4434" w:rsidRPr="004062FD">
        <w:rPr>
          <w:rFonts w:ascii="Arial" w:hAnsi="Arial" w:cs="Arial"/>
          <w:bCs/>
          <w:lang w:val="en-GB"/>
        </w:rPr>
        <w:t xml:space="preserve"> </w:t>
      </w:r>
      <w:proofErr w:type="spellStart"/>
      <w:r w:rsidRPr="004062FD">
        <w:rPr>
          <w:rFonts w:ascii="Arial" w:hAnsi="Arial" w:cs="Arial"/>
          <w:bCs/>
          <w:lang w:val="en-GB"/>
        </w:rPr>
        <w:t>jumlah</w:t>
      </w:r>
      <w:proofErr w:type="spellEnd"/>
      <w:r w:rsidRPr="004062FD">
        <w:rPr>
          <w:rFonts w:ascii="Arial" w:hAnsi="Arial" w:cs="Arial"/>
          <w:bCs/>
          <w:lang w:val="en-GB"/>
        </w:rPr>
        <w:t xml:space="preserve"> </w:t>
      </w:r>
      <w:proofErr w:type="spellStart"/>
      <w:r w:rsidR="00DB4434" w:rsidRPr="004062FD">
        <w:rPr>
          <w:rFonts w:ascii="Arial" w:hAnsi="Arial" w:cs="Arial"/>
          <w:bCs/>
          <w:lang w:val="en-GB"/>
        </w:rPr>
        <w:t>Pelancaran</w:t>
      </w:r>
      <w:proofErr w:type="spellEnd"/>
      <w:r w:rsidR="00DB4434" w:rsidRPr="004062FD">
        <w:rPr>
          <w:rFonts w:ascii="Arial" w:hAnsi="Arial" w:cs="Arial"/>
          <w:bCs/>
          <w:lang w:val="en-GB"/>
        </w:rPr>
        <w:t xml:space="preserve"> Baharu </w:t>
      </w:r>
      <w:proofErr w:type="spellStart"/>
      <w:r w:rsidRPr="004062FD">
        <w:rPr>
          <w:rFonts w:ascii="Arial" w:hAnsi="Arial" w:cs="Arial"/>
          <w:bCs/>
          <w:lang w:val="en-GB"/>
        </w:rPr>
        <w:t>tertinggi</w:t>
      </w:r>
      <w:proofErr w:type="spellEnd"/>
      <w:r w:rsidRPr="004062FD">
        <w:rPr>
          <w:rFonts w:ascii="Arial" w:hAnsi="Arial" w:cs="Arial"/>
          <w:bCs/>
          <w:lang w:val="en-GB"/>
        </w:rPr>
        <w:t xml:space="preserve"> </w:t>
      </w:r>
      <w:proofErr w:type="spellStart"/>
      <w:r w:rsidR="00DB4434" w:rsidRPr="004062FD">
        <w:rPr>
          <w:rFonts w:ascii="Arial" w:hAnsi="Arial" w:cs="Arial"/>
          <w:bCs/>
          <w:lang w:val="en-GB"/>
        </w:rPr>
        <w:t>dalam</w:t>
      </w:r>
      <w:proofErr w:type="spellEnd"/>
      <w:r w:rsidR="00DB4434" w:rsidRPr="004062FD">
        <w:rPr>
          <w:rFonts w:ascii="Arial" w:hAnsi="Arial" w:cs="Arial"/>
          <w:bCs/>
          <w:lang w:val="en-GB"/>
        </w:rPr>
        <w:t xml:space="preserve"> negara</w:t>
      </w:r>
      <w:r w:rsidRPr="004062FD">
        <w:rPr>
          <w:rFonts w:ascii="Arial" w:hAnsi="Arial" w:cs="Arial"/>
          <w:bCs/>
          <w:lang w:val="en-GB"/>
        </w:rPr>
        <w:t xml:space="preserve">, </w:t>
      </w:r>
      <w:proofErr w:type="spellStart"/>
      <w:r w:rsidRPr="004062FD">
        <w:rPr>
          <w:rFonts w:ascii="Arial" w:hAnsi="Arial" w:cs="Arial"/>
          <w:bCs/>
          <w:lang w:val="en-GB"/>
        </w:rPr>
        <w:t>iaitu</w:t>
      </w:r>
      <w:proofErr w:type="spellEnd"/>
      <w:r w:rsidRPr="004062FD">
        <w:rPr>
          <w:rFonts w:ascii="Arial" w:hAnsi="Arial" w:cs="Arial"/>
          <w:bCs/>
          <w:lang w:val="en-GB"/>
        </w:rPr>
        <w:t xml:space="preserve"> </w:t>
      </w:r>
      <w:proofErr w:type="spellStart"/>
      <w:r w:rsidRPr="004062FD">
        <w:rPr>
          <w:rFonts w:ascii="Arial" w:hAnsi="Arial" w:cs="Arial"/>
          <w:bCs/>
          <w:lang w:val="en-GB"/>
        </w:rPr>
        <w:t>hampir</w:t>
      </w:r>
      <w:proofErr w:type="spellEnd"/>
      <w:r w:rsidRPr="004062FD">
        <w:rPr>
          <w:rFonts w:ascii="Arial" w:hAnsi="Arial" w:cs="Arial"/>
          <w:bCs/>
          <w:lang w:val="en-GB"/>
        </w:rPr>
        <w:t xml:space="preserve"> 22.4% (9,827 unit) </w:t>
      </w:r>
      <w:proofErr w:type="spellStart"/>
      <w:r w:rsidRPr="004062FD">
        <w:rPr>
          <w:rFonts w:ascii="Arial" w:hAnsi="Arial" w:cs="Arial"/>
          <w:bCs/>
          <w:lang w:val="en-GB"/>
        </w:rPr>
        <w:t>daripada</w:t>
      </w:r>
      <w:proofErr w:type="spellEnd"/>
      <w:r w:rsidRPr="004062FD">
        <w:rPr>
          <w:rFonts w:ascii="Arial" w:hAnsi="Arial" w:cs="Arial"/>
          <w:bCs/>
          <w:lang w:val="en-GB"/>
        </w:rPr>
        <w:t xml:space="preserve"> </w:t>
      </w:r>
      <w:proofErr w:type="spellStart"/>
      <w:r w:rsidRPr="004062FD">
        <w:rPr>
          <w:rFonts w:ascii="Arial" w:hAnsi="Arial" w:cs="Arial"/>
          <w:bCs/>
          <w:lang w:val="en-GB"/>
        </w:rPr>
        <w:t>jumlah</w:t>
      </w:r>
      <w:proofErr w:type="spellEnd"/>
      <w:r w:rsidRPr="004062FD">
        <w:rPr>
          <w:rFonts w:ascii="Arial" w:hAnsi="Arial" w:cs="Arial"/>
          <w:bCs/>
          <w:lang w:val="en-GB"/>
        </w:rPr>
        <w:t xml:space="preserve"> </w:t>
      </w:r>
      <w:proofErr w:type="spellStart"/>
      <w:r w:rsidRPr="004062FD">
        <w:rPr>
          <w:rFonts w:ascii="Arial" w:hAnsi="Arial" w:cs="Arial"/>
          <w:bCs/>
          <w:lang w:val="en-GB"/>
        </w:rPr>
        <w:t>keseluruhan</w:t>
      </w:r>
      <w:proofErr w:type="spellEnd"/>
      <w:r w:rsidRPr="004062FD">
        <w:rPr>
          <w:rFonts w:ascii="Arial" w:hAnsi="Arial" w:cs="Arial"/>
          <w:bCs/>
          <w:lang w:val="en-GB"/>
        </w:rPr>
        <w:t xml:space="preserve"> </w:t>
      </w:r>
      <w:proofErr w:type="spellStart"/>
      <w:r w:rsidRPr="004062FD">
        <w:rPr>
          <w:rFonts w:ascii="Arial" w:hAnsi="Arial" w:cs="Arial"/>
          <w:bCs/>
          <w:lang w:val="en-GB"/>
        </w:rPr>
        <w:t>dengan</w:t>
      </w:r>
      <w:proofErr w:type="spellEnd"/>
      <w:r w:rsidRPr="004062FD">
        <w:rPr>
          <w:rFonts w:ascii="Arial" w:hAnsi="Arial" w:cs="Arial"/>
          <w:bCs/>
          <w:lang w:val="en-GB"/>
        </w:rPr>
        <w:t xml:space="preserve"> </w:t>
      </w:r>
      <w:proofErr w:type="spellStart"/>
      <w:r w:rsidRPr="004062FD">
        <w:rPr>
          <w:rFonts w:ascii="Arial" w:hAnsi="Arial" w:cs="Arial"/>
          <w:bCs/>
          <w:lang w:val="en-GB"/>
        </w:rPr>
        <w:t>prestasi</w:t>
      </w:r>
      <w:proofErr w:type="spellEnd"/>
      <w:r w:rsidRPr="004062FD">
        <w:rPr>
          <w:rFonts w:ascii="Arial" w:hAnsi="Arial" w:cs="Arial"/>
          <w:bCs/>
          <w:lang w:val="en-GB"/>
        </w:rPr>
        <w:t xml:space="preserve"> </w:t>
      </w:r>
      <w:proofErr w:type="spellStart"/>
      <w:r w:rsidRPr="004062FD">
        <w:rPr>
          <w:rFonts w:ascii="Arial" w:hAnsi="Arial" w:cs="Arial"/>
          <w:bCs/>
          <w:lang w:val="en-GB"/>
        </w:rPr>
        <w:t>jualan</w:t>
      </w:r>
      <w:proofErr w:type="spellEnd"/>
      <w:r w:rsidRPr="004062FD">
        <w:rPr>
          <w:rFonts w:ascii="Arial" w:hAnsi="Arial" w:cs="Arial"/>
          <w:bCs/>
          <w:lang w:val="en-GB"/>
        </w:rPr>
        <w:t xml:space="preserve"> </w:t>
      </w:r>
      <w:r w:rsidR="00DB4434" w:rsidRPr="004062FD">
        <w:rPr>
          <w:rFonts w:ascii="Arial" w:hAnsi="Arial" w:cs="Arial"/>
          <w:bCs/>
          <w:lang w:val="en-GB"/>
        </w:rPr>
        <w:t>pada</w:t>
      </w:r>
      <w:r w:rsidR="00BC0507" w:rsidRPr="004062FD">
        <w:rPr>
          <w:rFonts w:ascii="Arial" w:hAnsi="Arial" w:cs="Arial"/>
          <w:bCs/>
          <w:lang w:val="en-GB"/>
        </w:rPr>
        <w:t xml:space="preserve"> </w:t>
      </w:r>
      <w:r w:rsidRPr="004062FD">
        <w:rPr>
          <w:rFonts w:ascii="Arial" w:hAnsi="Arial" w:cs="Arial"/>
          <w:bCs/>
          <w:lang w:val="en-GB"/>
        </w:rPr>
        <w:t xml:space="preserve">54.0%. Johor </w:t>
      </w:r>
      <w:proofErr w:type="spellStart"/>
      <w:r w:rsidRPr="004062FD">
        <w:rPr>
          <w:rFonts w:ascii="Arial" w:hAnsi="Arial" w:cs="Arial"/>
          <w:bCs/>
          <w:lang w:val="en-GB"/>
        </w:rPr>
        <w:t>me</w:t>
      </w:r>
      <w:r w:rsidR="00DB4434" w:rsidRPr="004062FD">
        <w:rPr>
          <w:rFonts w:ascii="Arial" w:hAnsi="Arial" w:cs="Arial"/>
          <w:bCs/>
          <w:lang w:val="en-GB"/>
        </w:rPr>
        <w:t>rekodkan</w:t>
      </w:r>
      <w:proofErr w:type="spellEnd"/>
      <w:r w:rsidR="00DB4434" w:rsidRPr="004062FD">
        <w:rPr>
          <w:rFonts w:ascii="Arial" w:hAnsi="Arial" w:cs="Arial"/>
          <w:bCs/>
          <w:lang w:val="en-GB"/>
        </w:rPr>
        <w:t xml:space="preserve"> </w:t>
      </w:r>
      <w:proofErr w:type="spellStart"/>
      <w:r w:rsidR="00BC0507" w:rsidRPr="004062FD">
        <w:rPr>
          <w:rFonts w:ascii="Arial" w:hAnsi="Arial" w:cs="Arial"/>
          <w:bCs/>
          <w:lang w:val="en-GB"/>
        </w:rPr>
        <w:t>jumlah</w:t>
      </w:r>
      <w:proofErr w:type="spellEnd"/>
      <w:r w:rsidRPr="004062FD">
        <w:rPr>
          <w:rFonts w:ascii="Arial" w:hAnsi="Arial" w:cs="Arial"/>
          <w:bCs/>
          <w:lang w:val="en-GB"/>
        </w:rPr>
        <w:t xml:space="preserve"> </w:t>
      </w:r>
      <w:proofErr w:type="spellStart"/>
      <w:r w:rsidRPr="004062FD">
        <w:rPr>
          <w:rFonts w:ascii="Arial" w:hAnsi="Arial" w:cs="Arial"/>
          <w:bCs/>
          <w:lang w:val="en-GB"/>
        </w:rPr>
        <w:t>kedua</w:t>
      </w:r>
      <w:proofErr w:type="spellEnd"/>
      <w:r w:rsidRPr="004062FD">
        <w:rPr>
          <w:rFonts w:ascii="Arial" w:hAnsi="Arial" w:cs="Arial"/>
          <w:bCs/>
          <w:lang w:val="en-GB"/>
        </w:rPr>
        <w:t xml:space="preserve"> </w:t>
      </w:r>
      <w:proofErr w:type="spellStart"/>
      <w:r w:rsidRPr="004062FD">
        <w:rPr>
          <w:rFonts w:ascii="Arial" w:hAnsi="Arial" w:cs="Arial"/>
          <w:bCs/>
          <w:lang w:val="en-GB"/>
        </w:rPr>
        <w:t>tertinggi</w:t>
      </w:r>
      <w:proofErr w:type="spellEnd"/>
      <w:r w:rsidRPr="004062FD">
        <w:rPr>
          <w:rFonts w:ascii="Arial" w:hAnsi="Arial" w:cs="Arial"/>
          <w:bCs/>
          <w:lang w:val="en-GB"/>
        </w:rPr>
        <w:t xml:space="preserve"> (5,513 unit, 12.6%</w:t>
      </w:r>
      <w:r w:rsidR="005403F7" w:rsidRPr="004062FD">
        <w:rPr>
          <w:rFonts w:ascii="Arial" w:hAnsi="Arial" w:cs="Arial"/>
          <w:bCs/>
          <w:lang w:val="en-GB"/>
        </w:rPr>
        <w:t xml:space="preserve"> </w:t>
      </w:r>
      <w:proofErr w:type="spellStart"/>
      <w:r w:rsidR="00F96866" w:rsidRPr="004062FD">
        <w:rPr>
          <w:rFonts w:ascii="Arial" w:hAnsi="Arial" w:cs="Arial"/>
          <w:bCs/>
          <w:lang w:val="en-GB"/>
        </w:rPr>
        <w:t>syer</w:t>
      </w:r>
      <w:proofErr w:type="spellEnd"/>
      <w:r w:rsidRPr="004062FD">
        <w:rPr>
          <w:rFonts w:ascii="Arial" w:hAnsi="Arial" w:cs="Arial"/>
          <w:bCs/>
          <w:lang w:val="en-GB"/>
        </w:rPr>
        <w:t xml:space="preserve">) </w:t>
      </w:r>
      <w:proofErr w:type="spellStart"/>
      <w:r w:rsidRPr="004062FD">
        <w:rPr>
          <w:rFonts w:ascii="Arial" w:hAnsi="Arial" w:cs="Arial"/>
          <w:bCs/>
          <w:lang w:val="en-GB"/>
        </w:rPr>
        <w:t>dengan</w:t>
      </w:r>
      <w:proofErr w:type="spellEnd"/>
      <w:r w:rsidRPr="004062FD">
        <w:rPr>
          <w:rFonts w:ascii="Arial" w:hAnsi="Arial" w:cs="Arial"/>
          <w:bCs/>
          <w:lang w:val="en-GB"/>
        </w:rPr>
        <w:t xml:space="preserve"> </w:t>
      </w:r>
      <w:proofErr w:type="spellStart"/>
      <w:r w:rsidRPr="004062FD">
        <w:rPr>
          <w:rFonts w:ascii="Arial" w:hAnsi="Arial" w:cs="Arial"/>
          <w:bCs/>
          <w:lang w:val="en-GB"/>
        </w:rPr>
        <w:t>prestasi</w:t>
      </w:r>
      <w:proofErr w:type="spellEnd"/>
      <w:r w:rsidRPr="004062FD">
        <w:rPr>
          <w:rFonts w:ascii="Arial" w:hAnsi="Arial" w:cs="Arial"/>
          <w:bCs/>
          <w:lang w:val="en-GB"/>
        </w:rPr>
        <w:t xml:space="preserve"> </w:t>
      </w:r>
      <w:proofErr w:type="spellStart"/>
      <w:r w:rsidRPr="004062FD">
        <w:rPr>
          <w:rFonts w:ascii="Arial" w:hAnsi="Arial" w:cs="Arial"/>
          <w:bCs/>
          <w:lang w:val="en-GB"/>
        </w:rPr>
        <w:t>jualan</w:t>
      </w:r>
      <w:proofErr w:type="spellEnd"/>
      <w:r w:rsidRPr="004062FD">
        <w:rPr>
          <w:rFonts w:ascii="Arial" w:hAnsi="Arial" w:cs="Arial"/>
          <w:bCs/>
          <w:lang w:val="en-GB"/>
        </w:rPr>
        <w:t xml:space="preserve"> </w:t>
      </w:r>
      <w:r w:rsidR="00D56725" w:rsidRPr="004062FD">
        <w:rPr>
          <w:rFonts w:ascii="Arial" w:hAnsi="Arial" w:cs="Arial"/>
          <w:bCs/>
          <w:lang w:val="en-GB"/>
        </w:rPr>
        <w:t>pada</w:t>
      </w:r>
      <w:r w:rsidRPr="004062FD">
        <w:rPr>
          <w:rFonts w:ascii="Arial" w:hAnsi="Arial" w:cs="Arial"/>
          <w:bCs/>
          <w:lang w:val="en-GB"/>
        </w:rPr>
        <w:t xml:space="preserve"> 49.2%. Perak </w:t>
      </w:r>
      <w:proofErr w:type="spellStart"/>
      <w:r w:rsidRPr="004062FD">
        <w:rPr>
          <w:rFonts w:ascii="Arial" w:hAnsi="Arial" w:cs="Arial"/>
          <w:bCs/>
          <w:lang w:val="en-GB"/>
        </w:rPr>
        <w:t>menduduki</w:t>
      </w:r>
      <w:proofErr w:type="spellEnd"/>
      <w:r w:rsidRPr="004062FD">
        <w:rPr>
          <w:rFonts w:ascii="Arial" w:hAnsi="Arial" w:cs="Arial"/>
          <w:bCs/>
          <w:lang w:val="en-GB"/>
        </w:rPr>
        <w:t xml:space="preserve"> </w:t>
      </w:r>
      <w:proofErr w:type="spellStart"/>
      <w:r w:rsidRPr="004062FD">
        <w:rPr>
          <w:rFonts w:ascii="Arial" w:hAnsi="Arial" w:cs="Arial"/>
          <w:bCs/>
          <w:lang w:val="en-GB"/>
        </w:rPr>
        <w:t>tempat</w:t>
      </w:r>
      <w:proofErr w:type="spellEnd"/>
      <w:r w:rsidRPr="004062FD">
        <w:rPr>
          <w:rFonts w:ascii="Arial" w:hAnsi="Arial" w:cs="Arial"/>
          <w:bCs/>
          <w:lang w:val="en-GB"/>
        </w:rPr>
        <w:t xml:space="preserve"> </w:t>
      </w:r>
      <w:proofErr w:type="spellStart"/>
      <w:r w:rsidRPr="004062FD">
        <w:rPr>
          <w:rFonts w:ascii="Arial" w:hAnsi="Arial" w:cs="Arial"/>
          <w:bCs/>
          <w:lang w:val="en-GB"/>
        </w:rPr>
        <w:t>ketiga</w:t>
      </w:r>
      <w:proofErr w:type="spellEnd"/>
      <w:r w:rsidRPr="004062FD">
        <w:rPr>
          <w:rFonts w:ascii="Arial" w:hAnsi="Arial" w:cs="Arial"/>
          <w:bCs/>
          <w:lang w:val="en-GB"/>
        </w:rPr>
        <w:t xml:space="preserve"> (5,239 unit, 11.9%</w:t>
      </w:r>
      <w:r w:rsidR="005403F7" w:rsidRPr="004062FD">
        <w:rPr>
          <w:rFonts w:ascii="Arial" w:hAnsi="Arial" w:cs="Arial"/>
          <w:bCs/>
          <w:lang w:val="en-GB"/>
        </w:rPr>
        <w:t xml:space="preserve"> </w:t>
      </w:r>
      <w:proofErr w:type="spellStart"/>
      <w:r w:rsidR="00F96866" w:rsidRPr="004062FD">
        <w:rPr>
          <w:rFonts w:ascii="Arial" w:hAnsi="Arial" w:cs="Arial"/>
          <w:bCs/>
          <w:lang w:val="en-GB"/>
        </w:rPr>
        <w:t>syer</w:t>
      </w:r>
      <w:proofErr w:type="spellEnd"/>
      <w:r w:rsidRPr="004062FD">
        <w:rPr>
          <w:rFonts w:ascii="Arial" w:hAnsi="Arial" w:cs="Arial"/>
          <w:bCs/>
          <w:lang w:val="en-GB"/>
        </w:rPr>
        <w:t xml:space="preserve">) </w:t>
      </w:r>
      <w:proofErr w:type="spellStart"/>
      <w:r w:rsidRPr="004062FD">
        <w:rPr>
          <w:rFonts w:ascii="Arial" w:hAnsi="Arial" w:cs="Arial"/>
          <w:bCs/>
          <w:lang w:val="en-GB"/>
        </w:rPr>
        <w:t>dengan</w:t>
      </w:r>
      <w:proofErr w:type="spellEnd"/>
      <w:r w:rsidRPr="004062FD">
        <w:rPr>
          <w:rFonts w:ascii="Arial" w:hAnsi="Arial" w:cs="Arial"/>
          <w:bCs/>
          <w:lang w:val="en-GB"/>
        </w:rPr>
        <w:t xml:space="preserve"> </w:t>
      </w:r>
      <w:proofErr w:type="spellStart"/>
      <w:r w:rsidRPr="004062FD">
        <w:rPr>
          <w:rFonts w:ascii="Arial" w:hAnsi="Arial" w:cs="Arial"/>
          <w:bCs/>
          <w:lang w:val="en-GB"/>
        </w:rPr>
        <w:t>prestasi</w:t>
      </w:r>
      <w:proofErr w:type="spellEnd"/>
      <w:r w:rsidRPr="004062FD">
        <w:rPr>
          <w:rFonts w:ascii="Arial" w:hAnsi="Arial" w:cs="Arial"/>
          <w:bCs/>
          <w:lang w:val="en-GB"/>
        </w:rPr>
        <w:t xml:space="preserve"> </w:t>
      </w:r>
      <w:proofErr w:type="spellStart"/>
      <w:r w:rsidRPr="004062FD">
        <w:rPr>
          <w:rFonts w:ascii="Arial" w:hAnsi="Arial" w:cs="Arial"/>
          <w:bCs/>
          <w:lang w:val="en-GB"/>
        </w:rPr>
        <w:t>jualan</w:t>
      </w:r>
      <w:proofErr w:type="spellEnd"/>
      <w:r w:rsidRPr="004062FD">
        <w:rPr>
          <w:rFonts w:ascii="Arial" w:hAnsi="Arial" w:cs="Arial"/>
          <w:bCs/>
          <w:lang w:val="en-GB"/>
        </w:rPr>
        <w:t xml:space="preserve"> </w:t>
      </w:r>
      <w:r w:rsidR="00D56725" w:rsidRPr="004062FD">
        <w:rPr>
          <w:rFonts w:ascii="Arial" w:hAnsi="Arial" w:cs="Arial"/>
          <w:bCs/>
          <w:lang w:val="en-GB"/>
        </w:rPr>
        <w:t>pada</w:t>
      </w:r>
      <w:r w:rsidRPr="004062FD">
        <w:rPr>
          <w:rFonts w:ascii="Arial" w:hAnsi="Arial" w:cs="Arial"/>
          <w:bCs/>
          <w:lang w:val="en-GB"/>
        </w:rPr>
        <w:t xml:space="preserve"> 25.8%.</w:t>
      </w:r>
    </w:p>
    <w:p w14:paraId="210F1789" w14:textId="77777777" w:rsidR="005E1BFF" w:rsidRPr="004062FD" w:rsidRDefault="005E1BFF" w:rsidP="005E1BFF">
      <w:pPr>
        <w:pStyle w:val="ListParagraph"/>
        <w:spacing w:line="360" w:lineRule="auto"/>
        <w:ind w:left="360"/>
        <w:jc w:val="both"/>
        <w:rPr>
          <w:rFonts w:ascii="Arial" w:hAnsi="Arial" w:cs="Arial"/>
          <w:lang w:val="ms-MY"/>
        </w:rPr>
      </w:pPr>
    </w:p>
    <w:p w14:paraId="0A193DF1" w14:textId="444717AA" w:rsidR="00425F95" w:rsidRPr="004062FD" w:rsidRDefault="00B90F66" w:rsidP="00D41CA0">
      <w:pPr>
        <w:pStyle w:val="ListParagraph"/>
        <w:numPr>
          <w:ilvl w:val="0"/>
          <w:numId w:val="14"/>
        </w:numPr>
        <w:spacing w:line="360" w:lineRule="auto"/>
        <w:ind w:left="450" w:hanging="450"/>
        <w:jc w:val="both"/>
        <w:rPr>
          <w:rFonts w:ascii="Arial" w:hAnsi="Arial" w:cs="Arial"/>
          <w:lang w:val="ms-MY"/>
        </w:rPr>
      </w:pPr>
      <w:r w:rsidRPr="004062FD">
        <w:rPr>
          <w:rFonts w:ascii="Arial" w:hAnsi="Arial" w:cs="Arial"/>
          <w:lang w:val="ms-MY"/>
        </w:rPr>
        <w:t>Mengikut jenis harta</w:t>
      </w:r>
      <w:r w:rsidR="00BC0507" w:rsidRPr="004062FD">
        <w:rPr>
          <w:rFonts w:ascii="Arial" w:hAnsi="Arial" w:cs="Arial"/>
          <w:lang w:val="ms-MY"/>
        </w:rPr>
        <w:t xml:space="preserve"> tan</w:t>
      </w:r>
      <w:r w:rsidRPr="004062FD">
        <w:rPr>
          <w:rFonts w:ascii="Arial" w:hAnsi="Arial" w:cs="Arial"/>
          <w:lang w:val="ms-MY"/>
        </w:rPr>
        <w:t xml:space="preserve">ah, rumah teres (60.1%) mendominasi </w:t>
      </w:r>
      <w:r w:rsidR="00D56725" w:rsidRPr="004062FD">
        <w:rPr>
          <w:rFonts w:ascii="Arial" w:hAnsi="Arial" w:cs="Arial"/>
          <w:lang w:val="ms-MY"/>
        </w:rPr>
        <w:t>Pelancaran B</w:t>
      </w:r>
      <w:r w:rsidRPr="004062FD">
        <w:rPr>
          <w:rFonts w:ascii="Arial" w:hAnsi="Arial" w:cs="Arial"/>
          <w:lang w:val="ms-MY"/>
        </w:rPr>
        <w:t>aharu, terdiri daripada satu tingkat (10,667 unit) dan dua hingga tiga tingkat (15,705 unit), diikuti unit kondominium/</w:t>
      </w:r>
      <w:r w:rsidR="00D56725" w:rsidRPr="004062FD">
        <w:rPr>
          <w:rFonts w:ascii="Arial" w:hAnsi="Arial" w:cs="Arial"/>
          <w:lang w:val="ms-MY"/>
        </w:rPr>
        <w:t xml:space="preserve"> </w:t>
      </w:r>
      <w:r w:rsidR="00D41CA0" w:rsidRPr="004062FD">
        <w:rPr>
          <w:rFonts w:ascii="Arial" w:hAnsi="Arial" w:cs="Arial"/>
          <w:lang w:val="ms-MY"/>
        </w:rPr>
        <w:t>pangsapuri</w:t>
      </w:r>
      <w:r w:rsidRPr="004062FD">
        <w:rPr>
          <w:rFonts w:ascii="Arial" w:hAnsi="Arial" w:cs="Arial"/>
          <w:lang w:val="ms-MY"/>
        </w:rPr>
        <w:t xml:space="preserve"> dengan 27.4% (12,018 unit). </w:t>
      </w:r>
    </w:p>
    <w:p w14:paraId="04EAC0C3" w14:textId="77777777" w:rsidR="00D41CA0" w:rsidRPr="004062FD" w:rsidRDefault="00D41CA0" w:rsidP="00D41CA0">
      <w:pPr>
        <w:pStyle w:val="ListParagraph"/>
        <w:spacing w:line="360" w:lineRule="auto"/>
        <w:jc w:val="both"/>
        <w:rPr>
          <w:rFonts w:ascii="Arial" w:hAnsi="Arial" w:cs="Arial"/>
          <w:color w:val="FF0000"/>
          <w:lang w:val="ms-MY"/>
        </w:rPr>
      </w:pPr>
    </w:p>
    <w:p w14:paraId="201E7DB7" w14:textId="010C56BC" w:rsidR="005E1BFF" w:rsidRPr="004062FD" w:rsidRDefault="00D56725" w:rsidP="005E1BFF">
      <w:pPr>
        <w:pStyle w:val="ListParagraph"/>
        <w:numPr>
          <w:ilvl w:val="0"/>
          <w:numId w:val="14"/>
        </w:numPr>
        <w:tabs>
          <w:tab w:val="left" w:pos="0"/>
        </w:tabs>
        <w:spacing w:after="0" w:line="360" w:lineRule="auto"/>
        <w:ind w:left="567" w:hanging="567"/>
        <w:jc w:val="both"/>
        <w:rPr>
          <w:rFonts w:ascii="Arial" w:hAnsi="Arial" w:cs="Arial"/>
          <w:bCs/>
          <w:color w:val="0070C0"/>
          <w:lang w:val="en-MY"/>
        </w:rPr>
      </w:pPr>
      <w:r w:rsidRPr="004062FD">
        <w:rPr>
          <w:rFonts w:ascii="Arial" w:hAnsi="Arial" w:cs="Arial"/>
          <w:lang w:val="ms-MY"/>
        </w:rPr>
        <w:t>Situasi</w:t>
      </w:r>
      <w:r w:rsidR="002B3265" w:rsidRPr="004062FD">
        <w:rPr>
          <w:rFonts w:ascii="Arial" w:hAnsi="Arial" w:cs="Arial"/>
          <w:lang w:val="ms-MY"/>
        </w:rPr>
        <w:t xml:space="preserve"> kediaman </w:t>
      </w:r>
      <w:r w:rsidR="00E154D7">
        <w:rPr>
          <w:rFonts w:ascii="Arial" w:hAnsi="Arial" w:cs="Arial"/>
          <w:lang w:val="ms-MY"/>
        </w:rPr>
        <w:t>T</w:t>
      </w:r>
      <w:r w:rsidR="002B3265" w:rsidRPr="004062FD">
        <w:rPr>
          <w:rFonts w:ascii="Arial" w:hAnsi="Arial" w:cs="Arial"/>
          <w:lang w:val="ms-MY"/>
        </w:rPr>
        <w:t xml:space="preserve">idak </w:t>
      </w:r>
      <w:r w:rsidR="00E154D7">
        <w:rPr>
          <w:rFonts w:ascii="Arial" w:hAnsi="Arial" w:cs="Arial"/>
          <w:lang w:val="ms-MY"/>
        </w:rPr>
        <w:t>T</w:t>
      </w:r>
      <w:r w:rsidR="002B3265" w:rsidRPr="004062FD">
        <w:rPr>
          <w:rFonts w:ascii="Arial" w:hAnsi="Arial" w:cs="Arial"/>
          <w:lang w:val="ms-MY"/>
        </w:rPr>
        <w:t>erjual adalah kurang memberangsangkan, dengan</w:t>
      </w:r>
      <w:r w:rsidRPr="004062FD">
        <w:rPr>
          <w:rFonts w:ascii="Arial" w:hAnsi="Arial" w:cs="Arial"/>
          <w:lang w:val="ms-MY"/>
        </w:rPr>
        <w:t xml:space="preserve"> </w:t>
      </w:r>
      <w:r w:rsidR="00D41CA0" w:rsidRPr="004062FD">
        <w:rPr>
          <w:rFonts w:ascii="Arial" w:hAnsi="Arial" w:cs="Arial"/>
          <w:lang w:val="ms-MY"/>
        </w:rPr>
        <w:t>bilangan</w:t>
      </w:r>
      <w:r w:rsidR="002B3265" w:rsidRPr="004062FD">
        <w:rPr>
          <w:rFonts w:ascii="Arial" w:hAnsi="Arial" w:cs="Arial"/>
          <w:lang w:val="ms-MY"/>
        </w:rPr>
        <w:t xml:space="preserve"> </w:t>
      </w:r>
      <w:r w:rsidRPr="004062FD">
        <w:rPr>
          <w:rFonts w:ascii="Arial" w:hAnsi="Arial" w:cs="Arial"/>
          <w:lang w:val="ms-MY"/>
        </w:rPr>
        <w:t>berjumlah</w:t>
      </w:r>
      <w:r w:rsidR="002B3265" w:rsidRPr="004062FD">
        <w:rPr>
          <w:rFonts w:ascii="Arial" w:hAnsi="Arial" w:cs="Arial"/>
          <w:lang w:val="ms-MY"/>
        </w:rPr>
        <w:t xml:space="preserve"> 3</w:t>
      </w:r>
      <w:r w:rsidR="003B63E3" w:rsidRPr="004062FD">
        <w:rPr>
          <w:rFonts w:ascii="Arial" w:hAnsi="Arial" w:cs="Arial"/>
          <w:lang w:val="ms-MY"/>
        </w:rPr>
        <w:t>7,000</w:t>
      </w:r>
      <w:r w:rsidR="002B3265" w:rsidRPr="004062FD">
        <w:rPr>
          <w:rFonts w:ascii="Arial" w:hAnsi="Arial" w:cs="Arial"/>
          <w:lang w:val="ms-MY"/>
        </w:rPr>
        <w:t xml:space="preserve"> unit bernilai RM22.79 bilion pada akhir tahun, masing-masing </w:t>
      </w:r>
      <w:r w:rsidRPr="004062FD">
        <w:rPr>
          <w:rFonts w:ascii="Arial" w:hAnsi="Arial" w:cs="Arial"/>
          <w:lang w:val="ms-MY"/>
        </w:rPr>
        <w:t>peningkatan pada</w:t>
      </w:r>
      <w:r w:rsidR="002B3265" w:rsidRPr="004062FD">
        <w:rPr>
          <w:rFonts w:ascii="Arial" w:hAnsi="Arial" w:cs="Arial"/>
          <w:lang w:val="ms-MY"/>
        </w:rPr>
        <w:t xml:space="preserve"> 24.7% dan 20.5% </w:t>
      </w:r>
      <w:r w:rsidRPr="004062FD">
        <w:rPr>
          <w:rFonts w:ascii="Arial" w:hAnsi="Arial" w:cs="Arial"/>
          <w:lang w:val="ms-MY"/>
        </w:rPr>
        <w:t xml:space="preserve">di </w:t>
      </w:r>
      <w:r w:rsidR="002B3265" w:rsidRPr="004062FD">
        <w:rPr>
          <w:rFonts w:ascii="Arial" w:hAnsi="Arial" w:cs="Arial"/>
          <w:lang w:val="ms-MY"/>
        </w:rPr>
        <w:t xml:space="preserve">dalam </w:t>
      </w:r>
      <w:r w:rsidR="00D41CA0" w:rsidRPr="004062FD">
        <w:rPr>
          <w:rFonts w:ascii="Arial" w:hAnsi="Arial" w:cs="Arial"/>
          <w:lang w:val="ms-MY"/>
        </w:rPr>
        <w:t>bilangan</w:t>
      </w:r>
      <w:r w:rsidR="002B3265" w:rsidRPr="004062FD">
        <w:rPr>
          <w:rFonts w:ascii="Arial" w:hAnsi="Arial" w:cs="Arial"/>
          <w:lang w:val="ms-MY"/>
        </w:rPr>
        <w:t xml:space="preserve"> dan nilai berbanding tahun sebelum</w:t>
      </w:r>
      <w:r w:rsidRPr="004062FD">
        <w:rPr>
          <w:rFonts w:ascii="Arial" w:hAnsi="Arial" w:cs="Arial"/>
          <w:lang w:val="ms-MY"/>
        </w:rPr>
        <w:t>nya</w:t>
      </w:r>
      <w:r w:rsidR="002B3265" w:rsidRPr="004062FD">
        <w:rPr>
          <w:rFonts w:ascii="Arial" w:hAnsi="Arial" w:cs="Arial"/>
          <w:lang w:val="ms-MY"/>
        </w:rPr>
        <w:t>.</w:t>
      </w:r>
    </w:p>
    <w:p w14:paraId="6C49FD25" w14:textId="5D9AE34C" w:rsidR="005E1BFF" w:rsidRDefault="005E1BFF" w:rsidP="005E1BFF">
      <w:pPr>
        <w:pStyle w:val="ListParagraph"/>
        <w:tabs>
          <w:tab w:val="left" w:pos="0"/>
        </w:tabs>
        <w:spacing w:after="0" w:line="360" w:lineRule="auto"/>
        <w:ind w:left="567"/>
        <w:jc w:val="both"/>
        <w:rPr>
          <w:rFonts w:ascii="Arial" w:hAnsi="Arial" w:cs="Arial"/>
          <w:bCs/>
          <w:color w:val="0070C0"/>
          <w:lang w:val="en-MY"/>
        </w:rPr>
      </w:pPr>
    </w:p>
    <w:p w14:paraId="1A0EC862" w14:textId="49B00674" w:rsidR="00BC7A8D" w:rsidRDefault="00BC7A8D" w:rsidP="005E1BFF">
      <w:pPr>
        <w:pStyle w:val="ListParagraph"/>
        <w:tabs>
          <w:tab w:val="left" w:pos="0"/>
        </w:tabs>
        <w:spacing w:after="0" w:line="360" w:lineRule="auto"/>
        <w:ind w:left="567"/>
        <w:jc w:val="both"/>
        <w:rPr>
          <w:rFonts w:ascii="Arial" w:hAnsi="Arial" w:cs="Arial"/>
          <w:bCs/>
          <w:color w:val="0070C0"/>
          <w:lang w:val="en-MY"/>
        </w:rPr>
      </w:pPr>
    </w:p>
    <w:p w14:paraId="00F45DB2" w14:textId="77777777" w:rsidR="00BC7A8D" w:rsidRPr="004062FD" w:rsidRDefault="00BC7A8D" w:rsidP="005E1BFF">
      <w:pPr>
        <w:pStyle w:val="ListParagraph"/>
        <w:tabs>
          <w:tab w:val="left" w:pos="0"/>
        </w:tabs>
        <w:spacing w:after="0" w:line="360" w:lineRule="auto"/>
        <w:ind w:left="567"/>
        <w:jc w:val="both"/>
        <w:rPr>
          <w:rFonts w:ascii="Arial" w:hAnsi="Arial" w:cs="Arial"/>
          <w:bCs/>
          <w:color w:val="0070C0"/>
          <w:lang w:val="en-MY"/>
        </w:rPr>
      </w:pPr>
    </w:p>
    <w:p w14:paraId="5498DA0B" w14:textId="4CC99445" w:rsidR="005E1BFF" w:rsidRPr="004062FD" w:rsidRDefault="00EA0513" w:rsidP="005E1BFF">
      <w:pPr>
        <w:pStyle w:val="ListParagraph"/>
        <w:numPr>
          <w:ilvl w:val="0"/>
          <w:numId w:val="14"/>
        </w:numPr>
        <w:tabs>
          <w:tab w:val="left" w:pos="0"/>
        </w:tabs>
        <w:spacing w:after="0" w:line="360" w:lineRule="auto"/>
        <w:ind w:left="567" w:hanging="567"/>
        <w:jc w:val="both"/>
        <w:rPr>
          <w:rFonts w:ascii="Arial" w:hAnsi="Arial" w:cs="Arial"/>
          <w:bCs/>
          <w:color w:val="0070C0"/>
          <w:lang w:val="en-MY"/>
        </w:rPr>
      </w:pPr>
      <w:r w:rsidRPr="004062FD">
        <w:rPr>
          <w:rFonts w:ascii="Arial" w:hAnsi="Arial" w:cs="Arial"/>
          <w:lang w:val="ms-MY"/>
        </w:rPr>
        <w:lastRenderedPageBreak/>
        <w:t xml:space="preserve">Selangor mengekalkan jumlah dan nilai tidak terjual tertinggi </w:t>
      </w:r>
      <w:r w:rsidR="00D56725" w:rsidRPr="004062FD">
        <w:rPr>
          <w:rFonts w:ascii="Arial" w:hAnsi="Arial" w:cs="Arial"/>
          <w:lang w:val="ms-MY"/>
        </w:rPr>
        <w:t xml:space="preserve">dalam </w:t>
      </w:r>
      <w:r w:rsidRPr="004062FD">
        <w:rPr>
          <w:rFonts w:ascii="Arial" w:hAnsi="Arial" w:cs="Arial"/>
          <w:lang w:val="ms-MY"/>
        </w:rPr>
        <w:t xml:space="preserve">negara dengan 6,095 unit bernilai RM5.28 bilion, masing-masing </w:t>
      </w:r>
      <w:r w:rsidR="005E1BFF" w:rsidRPr="004062FD">
        <w:rPr>
          <w:rFonts w:ascii="Arial" w:hAnsi="Arial" w:cs="Arial"/>
          <w:lang w:val="ms-MY"/>
        </w:rPr>
        <w:t>berjumlah</w:t>
      </w:r>
      <w:r w:rsidRPr="004062FD">
        <w:rPr>
          <w:rFonts w:ascii="Arial" w:hAnsi="Arial" w:cs="Arial"/>
          <w:lang w:val="ms-MY"/>
        </w:rPr>
        <w:t xml:space="preserve"> 16.5% dan 23.2% daripada jumlah keseluruhan negara.</w:t>
      </w:r>
      <w:r w:rsidR="00D41CA0" w:rsidRPr="004062FD">
        <w:rPr>
          <w:rFonts w:ascii="Arial" w:hAnsi="Arial" w:cs="Arial"/>
          <w:lang w:val="ms-MY"/>
        </w:rPr>
        <w:t xml:space="preserve"> Seterusnya diikuti dengan</w:t>
      </w:r>
      <w:r w:rsidRPr="004062FD">
        <w:rPr>
          <w:rFonts w:ascii="Arial" w:hAnsi="Arial" w:cs="Arial"/>
          <w:lang w:val="ms-MY"/>
        </w:rPr>
        <w:t xml:space="preserve"> Johor (6,089 unit bernilai </w:t>
      </w:r>
      <w:bookmarkStart w:id="0" w:name="_Hlk98718030"/>
      <w:r w:rsidRPr="004062FD">
        <w:rPr>
          <w:rFonts w:ascii="Arial" w:hAnsi="Arial" w:cs="Arial"/>
          <w:lang w:val="ms-MY"/>
        </w:rPr>
        <w:t>RM4.7</w:t>
      </w:r>
      <w:r w:rsidR="00521100" w:rsidRPr="004062FD">
        <w:rPr>
          <w:rFonts w:ascii="Arial" w:hAnsi="Arial" w:cs="Arial"/>
          <w:lang w:val="ms-MY"/>
        </w:rPr>
        <w:t>2</w:t>
      </w:r>
      <w:bookmarkEnd w:id="0"/>
      <w:r w:rsidRPr="004062FD">
        <w:rPr>
          <w:rFonts w:ascii="Arial" w:hAnsi="Arial" w:cs="Arial"/>
          <w:lang w:val="ms-MY"/>
        </w:rPr>
        <w:t xml:space="preserve"> bilion), Pulau Pinang (5,493 unit bernilai RM3.5</w:t>
      </w:r>
      <w:r w:rsidR="00521100" w:rsidRPr="004062FD">
        <w:rPr>
          <w:rFonts w:ascii="Arial" w:hAnsi="Arial" w:cs="Arial"/>
          <w:lang w:val="ms-MY"/>
        </w:rPr>
        <w:t>6</w:t>
      </w:r>
      <w:r w:rsidRPr="004062FD">
        <w:rPr>
          <w:rFonts w:ascii="Arial" w:hAnsi="Arial" w:cs="Arial"/>
          <w:lang w:val="ms-MY"/>
        </w:rPr>
        <w:t xml:space="preserve"> bilion) dan WP Kuala Lumpur (3,908 unit bernilai </w:t>
      </w:r>
      <w:r w:rsidR="00521100" w:rsidRPr="004062FD">
        <w:rPr>
          <w:rFonts w:ascii="Arial" w:hAnsi="Arial" w:cs="Arial"/>
          <w:bCs/>
          <w:lang w:val="en-MY"/>
        </w:rPr>
        <w:t>RM3.17</w:t>
      </w:r>
      <w:r w:rsidRPr="004062FD">
        <w:rPr>
          <w:rFonts w:ascii="Arial" w:hAnsi="Arial" w:cs="Arial"/>
          <w:lang w:val="ms-MY"/>
        </w:rPr>
        <w:t xml:space="preserve"> bilion)</w:t>
      </w:r>
      <w:r w:rsidR="00D41CA0" w:rsidRPr="004062FD">
        <w:rPr>
          <w:rFonts w:ascii="Arial" w:hAnsi="Arial" w:cs="Arial"/>
          <w:lang w:val="ms-MY"/>
        </w:rPr>
        <w:t>.</w:t>
      </w:r>
    </w:p>
    <w:p w14:paraId="050BC4B5" w14:textId="77777777" w:rsidR="005E1BFF" w:rsidRPr="00A67002" w:rsidRDefault="005E1BFF" w:rsidP="005E1BFF">
      <w:pPr>
        <w:pStyle w:val="ListParagraph"/>
        <w:spacing w:after="0" w:line="360" w:lineRule="auto"/>
        <w:jc w:val="both"/>
        <w:rPr>
          <w:rFonts w:ascii="Arial" w:hAnsi="Arial" w:cs="Arial"/>
          <w:bCs/>
          <w:lang w:val="en-MY"/>
        </w:rPr>
      </w:pPr>
    </w:p>
    <w:p w14:paraId="6E659D08" w14:textId="06CAFBA7" w:rsidR="00A03625" w:rsidRPr="00A67002" w:rsidRDefault="005E1BFF" w:rsidP="00A03625">
      <w:pPr>
        <w:pStyle w:val="ListParagraph"/>
        <w:numPr>
          <w:ilvl w:val="0"/>
          <w:numId w:val="14"/>
        </w:numPr>
        <w:spacing w:after="0" w:line="360" w:lineRule="auto"/>
        <w:ind w:left="567" w:hanging="567"/>
        <w:jc w:val="both"/>
        <w:rPr>
          <w:rFonts w:ascii="Arial" w:hAnsi="Arial" w:cs="Arial"/>
          <w:bCs/>
          <w:lang w:val="en-MY"/>
        </w:rPr>
      </w:pPr>
      <w:proofErr w:type="spellStart"/>
      <w:r w:rsidRPr="00A67002">
        <w:rPr>
          <w:rFonts w:ascii="Arial" w:eastAsia="Arial" w:hAnsi="Arial" w:cs="Arial"/>
        </w:rPr>
        <w:t>Kondominium</w:t>
      </w:r>
      <w:proofErr w:type="spellEnd"/>
      <w:r w:rsidRPr="00A67002">
        <w:rPr>
          <w:rFonts w:ascii="Arial" w:eastAsia="Arial" w:hAnsi="Arial" w:cs="Arial"/>
        </w:rPr>
        <w:t xml:space="preserve">/ </w:t>
      </w:r>
      <w:proofErr w:type="spellStart"/>
      <w:r w:rsidRPr="00A67002">
        <w:rPr>
          <w:rFonts w:ascii="Arial" w:eastAsia="Arial" w:hAnsi="Arial" w:cs="Arial"/>
        </w:rPr>
        <w:t>pangsapuri</w:t>
      </w:r>
      <w:proofErr w:type="spellEnd"/>
      <w:r w:rsidRPr="00A67002">
        <w:rPr>
          <w:rFonts w:ascii="Arial" w:eastAsia="Arial" w:hAnsi="Arial" w:cs="Arial"/>
        </w:rPr>
        <w:t xml:space="preserve"> </w:t>
      </w:r>
      <w:proofErr w:type="spellStart"/>
      <w:r w:rsidRPr="00A67002">
        <w:rPr>
          <w:rFonts w:ascii="Arial" w:eastAsia="Arial" w:hAnsi="Arial" w:cs="Arial"/>
        </w:rPr>
        <w:t>membentuk</w:t>
      </w:r>
      <w:proofErr w:type="spellEnd"/>
      <w:r w:rsidRPr="00A67002">
        <w:rPr>
          <w:rFonts w:ascii="Arial" w:eastAsia="Arial" w:hAnsi="Arial" w:cs="Arial"/>
          <w:spacing w:val="17"/>
        </w:rPr>
        <w:t xml:space="preserve"> </w:t>
      </w:r>
      <w:r w:rsidRPr="00A67002">
        <w:rPr>
          <w:rFonts w:ascii="Arial" w:eastAsia="Arial" w:hAnsi="Arial" w:cs="Arial"/>
        </w:rPr>
        <w:t>5</w:t>
      </w:r>
      <w:r w:rsidRPr="00A67002">
        <w:rPr>
          <w:rFonts w:ascii="Arial" w:eastAsia="Arial" w:hAnsi="Arial" w:cs="Arial"/>
          <w:spacing w:val="-1"/>
        </w:rPr>
        <w:t>5</w:t>
      </w:r>
      <w:r w:rsidRPr="00A67002">
        <w:rPr>
          <w:rFonts w:ascii="Arial" w:eastAsia="Arial" w:hAnsi="Arial" w:cs="Arial"/>
          <w:spacing w:val="2"/>
        </w:rPr>
        <w:t>.</w:t>
      </w:r>
      <w:r w:rsidRPr="00A67002">
        <w:rPr>
          <w:rFonts w:ascii="Arial" w:eastAsia="Arial" w:hAnsi="Arial" w:cs="Arial"/>
        </w:rPr>
        <w:t>6%</w:t>
      </w:r>
      <w:r w:rsidRPr="00A67002">
        <w:rPr>
          <w:rFonts w:ascii="Arial" w:eastAsia="Arial" w:hAnsi="Arial" w:cs="Arial"/>
          <w:spacing w:val="15"/>
        </w:rPr>
        <w:t xml:space="preserve"> </w:t>
      </w:r>
      <w:r w:rsidRPr="00A67002">
        <w:rPr>
          <w:rFonts w:ascii="Arial" w:eastAsia="Arial" w:hAnsi="Arial" w:cs="Arial"/>
          <w:spacing w:val="1"/>
        </w:rPr>
        <w:t>(</w:t>
      </w:r>
      <w:r w:rsidRPr="00A67002">
        <w:rPr>
          <w:rFonts w:ascii="Arial" w:eastAsia="Arial" w:hAnsi="Arial" w:cs="Arial"/>
        </w:rPr>
        <w:t>2</w:t>
      </w:r>
      <w:r w:rsidRPr="00A67002">
        <w:rPr>
          <w:rFonts w:ascii="Arial" w:eastAsia="Arial" w:hAnsi="Arial" w:cs="Arial"/>
          <w:spacing w:val="2"/>
        </w:rPr>
        <w:t>0</w:t>
      </w:r>
      <w:r w:rsidRPr="00A67002">
        <w:rPr>
          <w:rFonts w:ascii="Arial" w:eastAsia="Arial" w:hAnsi="Arial" w:cs="Arial"/>
        </w:rPr>
        <w:t>,5</w:t>
      </w:r>
      <w:r w:rsidRPr="00A67002">
        <w:rPr>
          <w:rFonts w:ascii="Arial" w:eastAsia="Arial" w:hAnsi="Arial" w:cs="Arial"/>
          <w:spacing w:val="1"/>
        </w:rPr>
        <w:t>0</w:t>
      </w:r>
      <w:r w:rsidRPr="00A67002">
        <w:rPr>
          <w:rFonts w:ascii="Arial" w:eastAsia="Arial" w:hAnsi="Arial" w:cs="Arial"/>
        </w:rPr>
        <w:t>5</w:t>
      </w:r>
      <w:r w:rsidRPr="00A67002">
        <w:rPr>
          <w:rFonts w:ascii="Arial" w:eastAsia="Arial" w:hAnsi="Arial" w:cs="Arial"/>
          <w:spacing w:val="13"/>
        </w:rPr>
        <w:t xml:space="preserve"> </w:t>
      </w:r>
      <w:r w:rsidRPr="00A67002">
        <w:rPr>
          <w:rFonts w:ascii="Arial" w:eastAsia="Arial" w:hAnsi="Arial" w:cs="Arial"/>
          <w:spacing w:val="2"/>
        </w:rPr>
        <w:t>u</w:t>
      </w:r>
      <w:r w:rsidRPr="00A67002">
        <w:rPr>
          <w:rFonts w:ascii="Arial" w:eastAsia="Arial" w:hAnsi="Arial" w:cs="Arial"/>
        </w:rPr>
        <w:t>n</w:t>
      </w:r>
      <w:r w:rsidRPr="00A67002">
        <w:rPr>
          <w:rFonts w:ascii="Arial" w:eastAsia="Arial" w:hAnsi="Arial" w:cs="Arial"/>
          <w:spacing w:val="-1"/>
        </w:rPr>
        <w:t>i</w:t>
      </w:r>
      <w:r w:rsidRPr="00A67002">
        <w:rPr>
          <w:rFonts w:ascii="Arial" w:eastAsia="Arial" w:hAnsi="Arial" w:cs="Arial"/>
          <w:spacing w:val="2"/>
        </w:rPr>
        <w:t>t</w:t>
      </w:r>
      <w:r w:rsidRPr="00A67002">
        <w:rPr>
          <w:rFonts w:ascii="Arial" w:eastAsia="Arial" w:hAnsi="Arial" w:cs="Arial"/>
        </w:rPr>
        <w:t>)</w:t>
      </w:r>
      <w:r w:rsidRPr="00A67002">
        <w:rPr>
          <w:rFonts w:ascii="Arial" w:eastAsia="Arial" w:hAnsi="Arial" w:cs="Arial"/>
          <w:spacing w:val="16"/>
        </w:rPr>
        <w:t xml:space="preserve"> </w:t>
      </w:r>
      <w:proofErr w:type="spellStart"/>
      <w:r w:rsidR="00A67002">
        <w:rPr>
          <w:rFonts w:ascii="Arial" w:eastAsia="Arial" w:hAnsi="Arial" w:cs="Arial"/>
          <w:spacing w:val="16"/>
        </w:rPr>
        <w:t>daripada</w:t>
      </w:r>
      <w:proofErr w:type="spellEnd"/>
      <w:r w:rsidR="00A67002">
        <w:rPr>
          <w:rFonts w:ascii="Arial" w:eastAsia="Arial" w:hAnsi="Arial" w:cs="Arial"/>
          <w:spacing w:val="16"/>
        </w:rPr>
        <w:t xml:space="preserve"> </w:t>
      </w:r>
      <w:proofErr w:type="spellStart"/>
      <w:r w:rsidR="00A67002">
        <w:rPr>
          <w:rFonts w:ascii="Arial" w:eastAsia="Arial" w:hAnsi="Arial" w:cs="Arial"/>
          <w:spacing w:val="16"/>
        </w:rPr>
        <w:t>keseluruhan</w:t>
      </w:r>
      <w:proofErr w:type="spellEnd"/>
      <w:r w:rsidR="00A67002">
        <w:rPr>
          <w:rFonts w:ascii="Arial" w:eastAsia="Arial" w:hAnsi="Arial" w:cs="Arial"/>
          <w:spacing w:val="16"/>
        </w:rPr>
        <w:t xml:space="preserve"> unit </w:t>
      </w:r>
      <w:proofErr w:type="spellStart"/>
      <w:r w:rsidR="00A67002">
        <w:rPr>
          <w:rFonts w:ascii="Arial" w:eastAsia="Arial" w:hAnsi="Arial" w:cs="Arial"/>
          <w:spacing w:val="16"/>
        </w:rPr>
        <w:t>tidak</w:t>
      </w:r>
      <w:proofErr w:type="spellEnd"/>
      <w:r w:rsidR="00A67002">
        <w:rPr>
          <w:rFonts w:ascii="Arial" w:eastAsia="Arial" w:hAnsi="Arial" w:cs="Arial"/>
          <w:spacing w:val="16"/>
        </w:rPr>
        <w:t xml:space="preserve"> </w:t>
      </w:r>
      <w:proofErr w:type="spellStart"/>
      <w:r w:rsidR="00A67002">
        <w:rPr>
          <w:rFonts w:ascii="Arial" w:eastAsia="Arial" w:hAnsi="Arial" w:cs="Arial"/>
          <w:spacing w:val="16"/>
        </w:rPr>
        <w:t>terjual</w:t>
      </w:r>
      <w:proofErr w:type="spellEnd"/>
      <w:r w:rsidR="00A67002">
        <w:rPr>
          <w:rFonts w:ascii="Arial" w:eastAsia="Arial" w:hAnsi="Arial" w:cs="Arial"/>
          <w:spacing w:val="16"/>
        </w:rPr>
        <w:t xml:space="preserve"> negara</w:t>
      </w:r>
      <w:r w:rsidRPr="00A67002">
        <w:rPr>
          <w:rFonts w:ascii="Arial" w:eastAsia="Arial" w:hAnsi="Arial" w:cs="Arial"/>
        </w:rPr>
        <w:t>,</w:t>
      </w:r>
      <w:r w:rsidRPr="00A67002">
        <w:rPr>
          <w:rFonts w:ascii="Arial" w:eastAsia="Arial" w:hAnsi="Arial" w:cs="Arial"/>
          <w:spacing w:val="11"/>
        </w:rPr>
        <w:t xml:space="preserve"> </w:t>
      </w:r>
      <w:proofErr w:type="spellStart"/>
      <w:r w:rsidRPr="00A67002">
        <w:rPr>
          <w:rFonts w:ascii="Arial" w:eastAsia="Arial" w:hAnsi="Arial" w:cs="Arial"/>
        </w:rPr>
        <w:t>diikuti</w:t>
      </w:r>
      <w:proofErr w:type="spellEnd"/>
      <w:r w:rsidRPr="00A67002">
        <w:rPr>
          <w:rFonts w:ascii="Arial" w:eastAsia="Arial" w:hAnsi="Arial" w:cs="Arial"/>
        </w:rPr>
        <w:t xml:space="preserve"> </w:t>
      </w:r>
      <w:proofErr w:type="spellStart"/>
      <w:r w:rsidRPr="00A67002">
        <w:rPr>
          <w:rFonts w:ascii="Arial" w:eastAsia="Arial" w:hAnsi="Arial" w:cs="Arial"/>
        </w:rPr>
        <w:t>dengan</w:t>
      </w:r>
      <w:proofErr w:type="spellEnd"/>
      <w:r w:rsidRPr="00A67002">
        <w:rPr>
          <w:rFonts w:ascii="Arial" w:eastAsia="Arial" w:hAnsi="Arial" w:cs="Arial"/>
        </w:rPr>
        <w:t xml:space="preserve"> </w:t>
      </w:r>
      <w:proofErr w:type="spellStart"/>
      <w:r w:rsidRPr="00A67002">
        <w:rPr>
          <w:rFonts w:ascii="Arial" w:eastAsia="Arial" w:hAnsi="Arial" w:cs="Arial"/>
        </w:rPr>
        <w:t>rumah</w:t>
      </w:r>
      <w:proofErr w:type="spellEnd"/>
      <w:r w:rsidRPr="00A67002">
        <w:rPr>
          <w:rFonts w:ascii="Arial" w:eastAsia="Arial" w:hAnsi="Arial" w:cs="Arial"/>
        </w:rPr>
        <w:t xml:space="preserve"> teres</w:t>
      </w:r>
      <w:r w:rsidRPr="00A67002">
        <w:rPr>
          <w:rFonts w:ascii="Arial" w:eastAsia="Arial" w:hAnsi="Arial" w:cs="Arial"/>
          <w:spacing w:val="3"/>
        </w:rPr>
        <w:t xml:space="preserve"> </w:t>
      </w:r>
      <w:r w:rsidRPr="00A67002">
        <w:rPr>
          <w:rFonts w:ascii="Arial" w:eastAsia="Arial" w:hAnsi="Arial" w:cs="Arial"/>
          <w:spacing w:val="1"/>
        </w:rPr>
        <w:t>(</w:t>
      </w:r>
      <w:r w:rsidRPr="00A67002">
        <w:rPr>
          <w:rFonts w:ascii="Arial" w:eastAsia="Arial" w:hAnsi="Arial" w:cs="Arial"/>
        </w:rPr>
        <w:t>2</w:t>
      </w:r>
      <w:r w:rsidRPr="00A67002">
        <w:rPr>
          <w:rFonts w:ascii="Arial" w:eastAsia="Arial" w:hAnsi="Arial" w:cs="Arial"/>
          <w:spacing w:val="-1"/>
        </w:rPr>
        <w:t>1</w:t>
      </w:r>
      <w:r w:rsidRPr="00A67002">
        <w:rPr>
          <w:rFonts w:ascii="Arial" w:eastAsia="Arial" w:hAnsi="Arial" w:cs="Arial"/>
        </w:rPr>
        <w:t>.3%;</w:t>
      </w:r>
      <w:r w:rsidRPr="00A67002">
        <w:rPr>
          <w:rFonts w:ascii="Arial" w:eastAsia="Arial" w:hAnsi="Arial" w:cs="Arial"/>
          <w:spacing w:val="2"/>
        </w:rPr>
        <w:t xml:space="preserve"> 7,</w:t>
      </w:r>
      <w:r w:rsidRPr="00A67002">
        <w:rPr>
          <w:rFonts w:ascii="Arial" w:eastAsia="Arial" w:hAnsi="Arial" w:cs="Arial"/>
        </w:rPr>
        <w:t>8</w:t>
      </w:r>
      <w:r w:rsidRPr="00A67002">
        <w:rPr>
          <w:rFonts w:ascii="Arial" w:eastAsia="Arial" w:hAnsi="Arial" w:cs="Arial"/>
          <w:spacing w:val="-1"/>
        </w:rPr>
        <w:t>3</w:t>
      </w:r>
      <w:r w:rsidRPr="00A67002">
        <w:rPr>
          <w:rFonts w:ascii="Arial" w:eastAsia="Arial" w:hAnsi="Arial" w:cs="Arial"/>
        </w:rPr>
        <w:t>9</w:t>
      </w:r>
      <w:r w:rsidRPr="00A67002">
        <w:rPr>
          <w:rFonts w:ascii="Arial" w:eastAsia="Arial" w:hAnsi="Arial" w:cs="Arial"/>
          <w:spacing w:val="4"/>
        </w:rPr>
        <w:t xml:space="preserve"> </w:t>
      </w:r>
      <w:r w:rsidRPr="00A67002">
        <w:rPr>
          <w:rFonts w:ascii="Arial" w:eastAsia="Arial" w:hAnsi="Arial" w:cs="Arial"/>
          <w:spacing w:val="2"/>
        </w:rPr>
        <w:t>u</w:t>
      </w:r>
      <w:r w:rsidRPr="00A67002">
        <w:rPr>
          <w:rFonts w:ascii="Arial" w:eastAsia="Arial" w:hAnsi="Arial" w:cs="Arial"/>
        </w:rPr>
        <w:t>n</w:t>
      </w:r>
      <w:r w:rsidRPr="00A67002">
        <w:rPr>
          <w:rFonts w:ascii="Arial" w:eastAsia="Arial" w:hAnsi="Arial" w:cs="Arial"/>
          <w:spacing w:val="-1"/>
        </w:rPr>
        <w:t>i</w:t>
      </w:r>
      <w:r w:rsidRPr="00A67002">
        <w:rPr>
          <w:rFonts w:ascii="Arial" w:eastAsia="Arial" w:hAnsi="Arial" w:cs="Arial"/>
        </w:rPr>
        <w:t>t</w:t>
      </w:r>
      <w:r w:rsidRPr="00A67002">
        <w:rPr>
          <w:rFonts w:ascii="Arial" w:eastAsia="Arial" w:hAnsi="Arial" w:cs="Arial"/>
          <w:spacing w:val="1"/>
        </w:rPr>
        <w:t>)</w:t>
      </w:r>
      <w:r w:rsidRPr="00A67002">
        <w:rPr>
          <w:rFonts w:ascii="Arial" w:eastAsia="Arial" w:hAnsi="Arial" w:cs="Arial"/>
        </w:rPr>
        <w:t xml:space="preserve">. </w:t>
      </w:r>
      <w:r w:rsidRPr="00A67002">
        <w:rPr>
          <w:rFonts w:ascii="Arial" w:eastAsia="Arial" w:hAnsi="Arial" w:cs="Arial"/>
          <w:spacing w:val="25"/>
        </w:rPr>
        <w:t xml:space="preserve"> </w:t>
      </w:r>
      <w:proofErr w:type="spellStart"/>
      <w:r w:rsidRPr="00A67002">
        <w:rPr>
          <w:rFonts w:ascii="Arial" w:eastAsia="Arial" w:hAnsi="Arial" w:cs="Arial"/>
        </w:rPr>
        <w:t>Rumah</w:t>
      </w:r>
      <w:proofErr w:type="spellEnd"/>
      <w:r w:rsidRPr="00A67002">
        <w:rPr>
          <w:rFonts w:ascii="Arial" w:eastAsia="Arial" w:hAnsi="Arial" w:cs="Arial"/>
        </w:rPr>
        <w:t xml:space="preserve"> di </w:t>
      </w:r>
      <w:proofErr w:type="spellStart"/>
      <w:r w:rsidRPr="00A67002">
        <w:rPr>
          <w:rFonts w:ascii="Arial" w:eastAsia="Arial" w:hAnsi="Arial" w:cs="Arial"/>
        </w:rPr>
        <w:t>dalam</w:t>
      </w:r>
      <w:proofErr w:type="spellEnd"/>
      <w:r w:rsidRPr="00A67002">
        <w:rPr>
          <w:rFonts w:ascii="Arial" w:eastAsia="Arial" w:hAnsi="Arial" w:cs="Arial"/>
        </w:rPr>
        <w:t xml:space="preserve"> </w:t>
      </w:r>
      <w:proofErr w:type="spellStart"/>
      <w:r w:rsidRPr="00A67002">
        <w:rPr>
          <w:rFonts w:ascii="Arial" w:eastAsia="Arial" w:hAnsi="Arial" w:cs="Arial"/>
        </w:rPr>
        <w:t>lingkungan</w:t>
      </w:r>
      <w:proofErr w:type="spellEnd"/>
      <w:r w:rsidRPr="00A67002">
        <w:rPr>
          <w:rFonts w:ascii="Arial" w:eastAsia="Arial" w:hAnsi="Arial" w:cs="Arial"/>
        </w:rPr>
        <w:t xml:space="preserve"> </w:t>
      </w:r>
      <w:proofErr w:type="spellStart"/>
      <w:r w:rsidRPr="00A67002">
        <w:rPr>
          <w:rFonts w:ascii="Arial" w:eastAsia="Arial" w:hAnsi="Arial" w:cs="Arial"/>
        </w:rPr>
        <w:t>harga</w:t>
      </w:r>
      <w:proofErr w:type="spellEnd"/>
      <w:r w:rsidRPr="00A67002">
        <w:rPr>
          <w:rFonts w:ascii="Arial" w:eastAsia="Arial" w:hAnsi="Arial" w:cs="Arial"/>
        </w:rPr>
        <w:t xml:space="preserve"> RM</w:t>
      </w:r>
      <w:r w:rsidRPr="00A67002">
        <w:rPr>
          <w:rFonts w:ascii="Arial" w:eastAsia="Arial" w:hAnsi="Arial" w:cs="Arial"/>
          <w:spacing w:val="2"/>
        </w:rPr>
        <w:t>3</w:t>
      </w:r>
      <w:r w:rsidRPr="00A67002">
        <w:rPr>
          <w:rFonts w:ascii="Arial" w:eastAsia="Arial" w:hAnsi="Arial" w:cs="Arial"/>
        </w:rPr>
        <w:t>0</w:t>
      </w:r>
      <w:r w:rsidRPr="00A67002">
        <w:rPr>
          <w:rFonts w:ascii="Arial" w:eastAsia="Arial" w:hAnsi="Arial" w:cs="Arial"/>
          <w:spacing w:val="-1"/>
        </w:rPr>
        <w:t>0</w:t>
      </w:r>
      <w:r w:rsidRPr="00A67002">
        <w:rPr>
          <w:rFonts w:ascii="Arial" w:eastAsia="Arial" w:hAnsi="Arial" w:cs="Arial"/>
          <w:spacing w:val="2"/>
        </w:rPr>
        <w:t>,</w:t>
      </w:r>
      <w:r w:rsidRPr="00A67002">
        <w:rPr>
          <w:rFonts w:ascii="Arial" w:eastAsia="Arial" w:hAnsi="Arial" w:cs="Arial"/>
        </w:rPr>
        <w:t>0</w:t>
      </w:r>
      <w:r w:rsidRPr="00A67002">
        <w:rPr>
          <w:rFonts w:ascii="Arial" w:eastAsia="Arial" w:hAnsi="Arial" w:cs="Arial"/>
          <w:spacing w:val="-1"/>
        </w:rPr>
        <w:t>0</w:t>
      </w:r>
      <w:r w:rsidRPr="00A67002">
        <w:rPr>
          <w:rFonts w:ascii="Arial" w:eastAsia="Arial" w:hAnsi="Arial" w:cs="Arial"/>
        </w:rPr>
        <w:t xml:space="preserve">0 </w:t>
      </w:r>
      <w:r w:rsidR="00A03625" w:rsidRPr="00A67002">
        <w:rPr>
          <w:rFonts w:ascii="Arial" w:eastAsia="Arial" w:hAnsi="Arial" w:cs="Arial"/>
        </w:rPr>
        <w:t xml:space="preserve">dan </w:t>
      </w:r>
      <w:proofErr w:type="spellStart"/>
      <w:r w:rsidR="00A03625" w:rsidRPr="00A67002">
        <w:rPr>
          <w:rFonts w:ascii="Arial" w:eastAsia="Arial" w:hAnsi="Arial" w:cs="Arial"/>
        </w:rPr>
        <w:t>ke</w:t>
      </w:r>
      <w:proofErr w:type="spellEnd"/>
      <w:r w:rsidR="00A03625" w:rsidRPr="00A67002">
        <w:rPr>
          <w:rFonts w:ascii="Arial" w:eastAsia="Arial" w:hAnsi="Arial" w:cs="Arial"/>
        </w:rPr>
        <w:t xml:space="preserve"> </w:t>
      </w:r>
      <w:proofErr w:type="spellStart"/>
      <w:r w:rsidR="00A03625" w:rsidRPr="00A67002">
        <w:rPr>
          <w:rFonts w:ascii="Arial" w:eastAsia="Arial" w:hAnsi="Arial" w:cs="Arial"/>
        </w:rPr>
        <w:t>bawah</w:t>
      </w:r>
      <w:proofErr w:type="spellEnd"/>
      <w:r w:rsidR="00A03625" w:rsidRPr="00A67002">
        <w:rPr>
          <w:rFonts w:ascii="Arial" w:eastAsia="Arial" w:hAnsi="Arial" w:cs="Arial"/>
        </w:rPr>
        <w:t xml:space="preserve"> </w:t>
      </w:r>
      <w:proofErr w:type="spellStart"/>
      <w:r w:rsidR="00A03625" w:rsidRPr="00A67002">
        <w:rPr>
          <w:rFonts w:ascii="Arial" w:eastAsia="Arial" w:hAnsi="Arial" w:cs="Arial"/>
        </w:rPr>
        <w:t>membentuk</w:t>
      </w:r>
      <w:proofErr w:type="spellEnd"/>
      <w:r w:rsidR="00A03625" w:rsidRPr="00A67002">
        <w:rPr>
          <w:rFonts w:ascii="Arial" w:eastAsia="Arial" w:hAnsi="Arial" w:cs="Arial"/>
        </w:rPr>
        <w:t xml:space="preserve"> </w:t>
      </w:r>
      <w:proofErr w:type="spellStart"/>
      <w:r w:rsidR="00A03625" w:rsidRPr="00A67002">
        <w:rPr>
          <w:rFonts w:ascii="Arial" w:eastAsia="Arial" w:hAnsi="Arial" w:cs="Arial"/>
        </w:rPr>
        <w:t>majoriti</w:t>
      </w:r>
      <w:proofErr w:type="spellEnd"/>
      <w:r w:rsidR="00A03625" w:rsidRPr="00A67002">
        <w:rPr>
          <w:rFonts w:ascii="Arial" w:eastAsia="Arial" w:hAnsi="Arial" w:cs="Arial"/>
        </w:rPr>
        <w:t xml:space="preserve"> </w:t>
      </w:r>
      <w:proofErr w:type="spellStart"/>
      <w:r w:rsidR="00A03625" w:rsidRPr="00A67002">
        <w:rPr>
          <w:rFonts w:ascii="Arial" w:eastAsia="Arial" w:hAnsi="Arial" w:cs="Arial"/>
        </w:rPr>
        <w:t>dengan</w:t>
      </w:r>
      <w:proofErr w:type="spellEnd"/>
      <w:r w:rsidR="00A03625" w:rsidRPr="00A67002">
        <w:rPr>
          <w:rFonts w:ascii="Arial" w:eastAsia="Arial" w:hAnsi="Arial" w:cs="Arial"/>
        </w:rPr>
        <w:t xml:space="preserve"> </w:t>
      </w:r>
      <w:r w:rsidRPr="00A67002">
        <w:rPr>
          <w:rFonts w:ascii="Arial" w:eastAsia="Arial" w:hAnsi="Arial" w:cs="Arial"/>
        </w:rPr>
        <w:t>3</w:t>
      </w:r>
      <w:r w:rsidRPr="00A67002">
        <w:rPr>
          <w:rFonts w:ascii="Arial" w:eastAsia="Arial" w:hAnsi="Arial" w:cs="Arial"/>
          <w:spacing w:val="-1"/>
        </w:rPr>
        <w:t>1</w:t>
      </w:r>
      <w:r w:rsidRPr="00A67002">
        <w:rPr>
          <w:rFonts w:ascii="Arial" w:eastAsia="Arial" w:hAnsi="Arial" w:cs="Arial"/>
        </w:rPr>
        <w:t>.</w:t>
      </w:r>
      <w:r w:rsidRPr="00A67002">
        <w:rPr>
          <w:rFonts w:ascii="Arial" w:eastAsia="Arial" w:hAnsi="Arial" w:cs="Arial"/>
          <w:spacing w:val="2"/>
        </w:rPr>
        <w:t>5</w:t>
      </w:r>
      <w:r w:rsidRPr="00A67002">
        <w:rPr>
          <w:rFonts w:ascii="Arial" w:eastAsia="Arial" w:hAnsi="Arial" w:cs="Arial"/>
        </w:rPr>
        <w:t>%</w:t>
      </w:r>
      <w:r w:rsidRPr="00A67002">
        <w:rPr>
          <w:rFonts w:ascii="Arial" w:eastAsia="Arial" w:hAnsi="Arial" w:cs="Arial"/>
          <w:spacing w:val="6"/>
        </w:rPr>
        <w:t xml:space="preserve"> </w:t>
      </w:r>
      <w:r w:rsidRPr="00A67002">
        <w:rPr>
          <w:rFonts w:ascii="Arial" w:eastAsia="Arial" w:hAnsi="Arial" w:cs="Arial"/>
          <w:spacing w:val="1"/>
        </w:rPr>
        <w:t>(</w:t>
      </w:r>
      <w:r w:rsidRPr="00A67002">
        <w:rPr>
          <w:rFonts w:ascii="Arial" w:eastAsia="Arial" w:hAnsi="Arial" w:cs="Arial"/>
        </w:rPr>
        <w:t>1</w:t>
      </w:r>
      <w:r w:rsidRPr="00A67002">
        <w:rPr>
          <w:rFonts w:ascii="Arial" w:eastAsia="Arial" w:hAnsi="Arial" w:cs="Arial"/>
          <w:spacing w:val="-1"/>
        </w:rPr>
        <w:t>1</w:t>
      </w:r>
      <w:r w:rsidRPr="00A67002">
        <w:rPr>
          <w:rFonts w:ascii="Arial" w:eastAsia="Arial" w:hAnsi="Arial" w:cs="Arial"/>
        </w:rPr>
        <w:t>,</w:t>
      </w:r>
      <w:r w:rsidRPr="00A67002">
        <w:rPr>
          <w:rFonts w:ascii="Arial" w:eastAsia="Arial" w:hAnsi="Arial" w:cs="Arial"/>
          <w:spacing w:val="2"/>
        </w:rPr>
        <w:t>6</w:t>
      </w:r>
      <w:r w:rsidRPr="00A67002">
        <w:rPr>
          <w:rFonts w:ascii="Arial" w:eastAsia="Arial" w:hAnsi="Arial" w:cs="Arial"/>
        </w:rPr>
        <w:t>10</w:t>
      </w:r>
      <w:r w:rsidRPr="00A67002">
        <w:rPr>
          <w:rFonts w:ascii="Arial" w:eastAsia="Arial" w:hAnsi="Arial" w:cs="Arial"/>
          <w:spacing w:val="4"/>
        </w:rPr>
        <w:t xml:space="preserve"> </w:t>
      </w:r>
      <w:r w:rsidRPr="00A67002">
        <w:rPr>
          <w:rFonts w:ascii="Arial" w:eastAsia="Arial" w:hAnsi="Arial" w:cs="Arial"/>
          <w:spacing w:val="2"/>
        </w:rPr>
        <w:t>u</w:t>
      </w:r>
      <w:r w:rsidRPr="00A67002">
        <w:rPr>
          <w:rFonts w:ascii="Arial" w:eastAsia="Arial" w:hAnsi="Arial" w:cs="Arial"/>
        </w:rPr>
        <w:t>n</w:t>
      </w:r>
      <w:r w:rsidRPr="00A67002">
        <w:rPr>
          <w:rFonts w:ascii="Arial" w:eastAsia="Arial" w:hAnsi="Arial" w:cs="Arial"/>
          <w:spacing w:val="-1"/>
        </w:rPr>
        <w:t>i</w:t>
      </w:r>
      <w:r w:rsidRPr="00A67002">
        <w:rPr>
          <w:rFonts w:ascii="Arial" w:eastAsia="Arial" w:hAnsi="Arial" w:cs="Arial"/>
        </w:rPr>
        <w:t>t</w:t>
      </w:r>
      <w:r w:rsidRPr="00A67002">
        <w:rPr>
          <w:rFonts w:ascii="Arial" w:eastAsia="Arial" w:hAnsi="Arial" w:cs="Arial"/>
          <w:spacing w:val="3"/>
        </w:rPr>
        <w:t>)</w:t>
      </w:r>
      <w:r w:rsidRPr="00A67002">
        <w:rPr>
          <w:rFonts w:ascii="Arial" w:eastAsia="Arial" w:hAnsi="Arial" w:cs="Arial"/>
        </w:rPr>
        <w:t>.</w:t>
      </w:r>
      <w:r w:rsidRPr="00A67002">
        <w:rPr>
          <w:rFonts w:ascii="Arial" w:eastAsia="Arial" w:hAnsi="Arial" w:cs="Arial"/>
          <w:spacing w:val="5"/>
        </w:rPr>
        <w:t xml:space="preserve"> </w:t>
      </w:r>
      <w:proofErr w:type="spellStart"/>
      <w:r w:rsidR="00A03625" w:rsidRPr="00A67002">
        <w:rPr>
          <w:rFonts w:ascii="Arial" w:eastAsia="Arial" w:hAnsi="Arial" w:cs="Arial"/>
          <w:spacing w:val="5"/>
        </w:rPr>
        <w:t>Diikuti</w:t>
      </w:r>
      <w:proofErr w:type="spellEnd"/>
      <w:r w:rsidR="00A03625" w:rsidRPr="00A67002">
        <w:rPr>
          <w:rFonts w:ascii="Arial" w:eastAsia="Arial" w:hAnsi="Arial" w:cs="Arial"/>
          <w:spacing w:val="5"/>
        </w:rPr>
        <w:t xml:space="preserve"> </w:t>
      </w:r>
      <w:proofErr w:type="spellStart"/>
      <w:r w:rsidR="00A03625" w:rsidRPr="00A67002">
        <w:rPr>
          <w:rFonts w:ascii="Arial" w:eastAsia="Arial" w:hAnsi="Arial" w:cs="Arial"/>
          <w:spacing w:val="5"/>
        </w:rPr>
        <w:t>dengan</w:t>
      </w:r>
      <w:proofErr w:type="spellEnd"/>
      <w:r w:rsidR="00A03625" w:rsidRPr="00A67002">
        <w:rPr>
          <w:rFonts w:ascii="Arial" w:eastAsia="Arial" w:hAnsi="Arial" w:cs="Arial"/>
          <w:spacing w:val="5"/>
        </w:rPr>
        <w:t xml:space="preserve"> </w:t>
      </w:r>
      <w:r w:rsidRPr="00A67002">
        <w:rPr>
          <w:rFonts w:ascii="Arial" w:eastAsia="Arial" w:hAnsi="Arial" w:cs="Arial"/>
        </w:rPr>
        <w:t>RM5</w:t>
      </w:r>
      <w:r w:rsidRPr="00A67002">
        <w:rPr>
          <w:rFonts w:ascii="Arial" w:eastAsia="Arial" w:hAnsi="Arial" w:cs="Arial"/>
          <w:spacing w:val="1"/>
        </w:rPr>
        <w:t>0</w:t>
      </w:r>
      <w:r w:rsidRPr="00A67002">
        <w:rPr>
          <w:rFonts w:ascii="Arial" w:eastAsia="Arial" w:hAnsi="Arial" w:cs="Arial"/>
        </w:rPr>
        <w:t>0,</w:t>
      </w:r>
      <w:r w:rsidRPr="00A67002">
        <w:rPr>
          <w:rFonts w:ascii="Arial" w:eastAsia="Arial" w:hAnsi="Arial" w:cs="Arial"/>
          <w:spacing w:val="1"/>
        </w:rPr>
        <w:t>0</w:t>
      </w:r>
      <w:r w:rsidRPr="00A67002">
        <w:rPr>
          <w:rFonts w:ascii="Arial" w:eastAsia="Arial" w:hAnsi="Arial" w:cs="Arial"/>
        </w:rPr>
        <w:t xml:space="preserve">01 </w:t>
      </w:r>
      <w:proofErr w:type="spellStart"/>
      <w:r w:rsidR="00A03625" w:rsidRPr="00A67002">
        <w:rPr>
          <w:rFonts w:ascii="Arial" w:eastAsia="Arial" w:hAnsi="Arial" w:cs="Arial"/>
        </w:rPr>
        <w:t>hingga</w:t>
      </w:r>
      <w:proofErr w:type="spellEnd"/>
      <w:r w:rsidRPr="00A67002">
        <w:rPr>
          <w:rFonts w:ascii="Arial" w:eastAsia="Arial" w:hAnsi="Arial" w:cs="Arial"/>
          <w:spacing w:val="9"/>
        </w:rPr>
        <w:t xml:space="preserve"> </w:t>
      </w:r>
      <w:r w:rsidRPr="00A67002">
        <w:rPr>
          <w:rFonts w:ascii="Arial" w:eastAsia="Arial" w:hAnsi="Arial" w:cs="Arial"/>
          <w:spacing w:val="2"/>
        </w:rPr>
        <w:t>R</w:t>
      </w:r>
      <w:r w:rsidRPr="00A67002">
        <w:rPr>
          <w:rFonts w:ascii="Arial" w:eastAsia="Arial" w:hAnsi="Arial" w:cs="Arial"/>
        </w:rPr>
        <w:t>M</w:t>
      </w:r>
      <w:r w:rsidRPr="00A67002">
        <w:rPr>
          <w:rFonts w:ascii="Arial" w:eastAsia="Arial" w:hAnsi="Arial" w:cs="Arial"/>
          <w:spacing w:val="-1"/>
        </w:rPr>
        <w:t>1</w:t>
      </w:r>
      <w:r w:rsidRPr="00A67002">
        <w:rPr>
          <w:rFonts w:ascii="Arial" w:eastAsia="Arial" w:hAnsi="Arial" w:cs="Arial"/>
        </w:rPr>
        <w:t xml:space="preserve">.0 </w:t>
      </w:r>
      <w:proofErr w:type="spellStart"/>
      <w:r w:rsidR="00A03625" w:rsidRPr="00A67002">
        <w:rPr>
          <w:rFonts w:ascii="Arial" w:eastAsia="Arial" w:hAnsi="Arial" w:cs="Arial"/>
        </w:rPr>
        <w:t>juta</w:t>
      </w:r>
      <w:proofErr w:type="spellEnd"/>
      <w:r w:rsidR="00A03625" w:rsidRPr="00A67002">
        <w:rPr>
          <w:rFonts w:ascii="Arial" w:eastAsia="Arial" w:hAnsi="Arial" w:cs="Arial"/>
        </w:rPr>
        <w:t xml:space="preserve"> </w:t>
      </w:r>
      <w:proofErr w:type="spellStart"/>
      <w:r w:rsidR="00A03625" w:rsidRPr="00A67002">
        <w:rPr>
          <w:rFonts w:ascii="Arial" w:eastAsia="Arial" w:hAnsi="Arial" w:cs="Arial"/>
        </w:rPr>
        <w:t>dengan</w:t>
      </w:r>
      <w:proofErr w:type="spellEnd"/>
      <w:r w:rsidR="00A03625" w:rsidRPr="00A67002">
        <w:rPr>
          <w:rFonts w:ascii="Arial" w:eastAsia="Arial" w:hAnsi="Arial" w:cs="Arial"/>
        </w:rPr>
        <w:t xml:space="preserve"> </w:t>
      </w:r>
      <w:r w:rsidRPr="00A67002">
        <w:rPr>
          <w:rFonts w:ascii="Arial" w:eastAsia="Arial" w:hAnsi="Arial" w:cs="Arial"/>
          <w:spacing w:val="2"/>
        </w:rPr>
        <w:t>3</w:t>
      </w:r>
      <w:r w:rsidRPr="00A67002">
        <w:rPr>
          <w:rFonts w:ascii="Arial" w:eastAsia="Arial" w:hAnsi="Arial" w:cs="Arial"/>
        </w:rPr>
        <w:t>0.</w:t>
      </w:r>
      <w:r w:rsidRPr="00A67002">
        <w:rPr>
          <w:rFonts w:ascii="Arial" w:eastAsia="Arial" w:hAnsi="Arial" w:cs="Arial"/>
          <w:spacing w:val="-1"/>
        </w:rPr>
        <w:t>2</w:t>
      </w:r>
      <w:r w:rsidRPr="00A67002">
        <w:rPr>
          <w:rFonts w:ascii="Arial" w:eastAsia="Arial" w:hAnsi="Arial" w:cs="Arial"/>
        </w:rPr>
        <w:t>%</w:t>
      </w:r>
      <w:r w:rsidRPr="00A67002">
        <w:rPr>
          <w:rFonts w:ascii="Arial" w:eastAsia="Arial" w:hAnsi="Arial" w:cs="Arial"/>
          <w:spacing w:val="-3"/>
        </w:rPr>
        <w:t xml:space="preserve"> </w:t>
      </w:r>
      <w:r w:rsidRPr="00A67002">
        <w:rPr>
          <w:rFonts w:ascii="Arial" w:eastAsia="Arial" w:hAnsi="Arial" w:cs="Arial"/>
          <w:spacing w:val="1"/>
        </w:rPr>
        <w:t>(</w:t>
      </w:r>
      <w:r w:rsidRPr="00A67002">
        <w:rPr>
          <w:rFonts w:ascii="Arial" w:eastAsia="Arial" w:hAnsi="Arial" w:cs="Arial"/>
          <w:spacing w:val="2"/>
        </w:rPr>
        <w:t>1</w:t>
      </w:r>
      <w:r w:rsidRPr="00A67002">
        <w:rPr>
          <w:rFonts w:ascii="Arial" w:eastAsia="Arial" w:hAnsi="Arial" w:cs="Arial"/>
        </w:rPr>
        <w:t>1,</w:t>
      </w:r>
      <w:r w:rsidRPr="00A67002">
        <w:rPr>
          <w:rFonts w:ascii="Arial" w:eastAsia="Arial" w:hAnsi="Arial" w:cs="Arial"/>
          <w:spacing w:val="-1"/>
        </w:rPr>
        <w:t>1</w:t>
      </w:r>
      <w:r w:rsidRPr="00A67002">
        <w:rPr>
          <w:rFonts w:ascii="Arial" w:eastAsia="Arial" w:hAnsi="Arial" w:cs="Arial"/>
          <w:spacing w:val="2"/>
        </w:rPr>
        <w:t>3</w:t>
      </w:r>
      <w:r w:rsidRPr="00A67002">
        <w:rPr>
          <w:rFonts w:ascii="Arial" w:eastAsia="Arial" w:hAnsi="Arial" w:cs="Arial"/>
        </w:rPr>
        <w:t>9</w:t>
      </w:r>
      <w:r w:rsidRPr="00A67002">
        <w:rPr>
          <w:rFonts w:ascii="Arial" w:eastAsia="Arial" w:hAnsi="Arial" w:cs="Arial"/>
          <w:spacing w:val="-3"/>
        </w:rPr>
        <w:t xml:space="preserve"> </w:t>
      </w:r>
      <w:r w:rsidRPr="00A67002">
        <w:rPr>
          <w:rFonts w:ascii="Arial" w:eastAsia="Arial" w:hAnsi="Arial" w:cs="Arial"/>
        </w:rPr>
        <w:t>u</w:t>
      </w:r>
      <w:r w:rsidRPr="00A67002">
        <w:rPr>
          <w:rFonts w:ascii="Arial" w:eastAsia="Arial" w:hAnsi="Arial" w:cs="Arial"/>
          <w:spacing w:val="-1"/>
        </w:rPr>
        <w:t>ni</w:t>
      </w:r>
      <w:r w:rsidRPr="00A67002">
        <w:rPr>
          <w:rFonts w:ascii="Arial" w:eastAsia="Arial" w:hAnsi="Arial" w:cs="Arial"/>
        </w:rPr>
        <w:t>t</w:t>
      </w:r>
      <w:r w:rsidRPr="00A67002">
        <w:rPr>
          <w:rFonts w:ascii="Arial" w:eastAsia="Arial" w:hAnsi="Arial" w:cs="Arial"/>
          <w:spacing w:val="3"/>
        </w:rPr>
        <w:t>)</w:t>
      </w:r>
      <w:r w:rsidRPr="00A67002">
        <w:rPr>
          <w:rFonts w:ascii="Arial" w:eastAsia="Arial" w:hAnsi="Arial" w:cs="Arial"/>
        </w:rPr>
        <w:t>,</w:t>
      </w:r>
      <w:r w:rsidRPr="00A67002">
        <w:rPr>
          <w:rFonts w:ascii="Arial" w:eastAsia="Arial" w:hAnsi="Arial" w:cs="Arial"/>
          <w:spacing w:val="-3"/>
        </w:rPr>
        <w:t xml:space="preserve"> </w:t>
      </w:r>
      <w:r w:rsidRPr="00A67002">
        <w:rPr>
          <w:rFonts w:ascii="Arial" w:eastAsia="Arial" w:hAnsi="Arial" w:cs="Arial"/>
        </w:rPr>
        <w:t>R</w:t>
      </w:r>
      <w:r w:rsidRPr="00A67002">
        <w:rPr>
          <w:rFonts w:ascii="Arial" w:eastAsia="Arial" w:hAnsi="Arial" w:cs="Arial"/>
          <w:spacing w:val="2"/>
        </w:rPr>
        <w:t>M</w:t>
      </w:r>
      <w:r w:rsidRPr="00A67002">
        <w:rPr>
          <w:rFonts w:ascii="Arial" w:eastAsia="Arial" w:hAnsi="Arial" w:cs="Arial"/>
        </w:rPr>
        <w:t>3</w:t>
      </w:r>
      <w:r w:rsidRPr="00A67002">
        <w:rPr>
          <w:rFonts w:ascii="Arial" w:eastAsia="Arial" w:hAnsi="Arial" w:cs="Arial"/>
          <w:spacing w:val="-1"/>
        </w:rPr>
        <w:t>0</w:t>
      </w:r>
      <w:r w:rsidRPr="00A67002">
        <w:rPr>
          <w:rFonts w:ascii="Arial" w:eastAsia="Arial" w:hAnsi="Arial" w:cs="Arial"/>
          <w:spacing w:val="2"/>
        </w:rPr>
        <w:t>0</w:t>
      </w:r>
      <w:r w:rsidRPr="00A67002">
        <w:rPr>
          <w:rFonts w:ascii="Arial" w:eastAsia="Arial" w:hAnsi="Arial" w:cs="Arial"/>
        </w:rPr>
        <w:t>,0</w:t>
      </w:r>
      <w:r w:rsidRPr="00A67002">
        <w:rPr>
          <w:rFonts w:ascii="Arial" w:eastAsia="Arial" w:hAnsi="Arial" w:cs="Arial"/>
          <w:spacing w:val="1"/>
        </w:rPr>
        <w:t>0</w:t>
      </w:r>
      <w:r w:rsidRPr="00A67002">
        <w:rPr>
          <w:rFonts w:ascii="Arial" w:eastAsia="Arial" w:hAnsi="Arial" w:cs="Arial"/>
        </w:rPr>
        <w:t>1</w:t>
      </w:r>
      <w:r w:rsidRPr="00A67002">
        <w:rPr>
          <w:rFonts w:ascii="Arial" w:eastAsia="Arial" w:hAnsi="Arial" w:cs="Arial"/>
          <w:spacing w:val="-8"/>
        </w:rPr>
        <w:t xml:space="preserve"> </w:t>
      </w:r>
      <w:r w:rsidR="00A03625" w:rsidRPr="00A67002">
        <w:rPr>
          <w:rFonts w:ascii="Arial" w:eastAsia="Arial" w:hAnsi="Arial" w:cs="Arial"/>
        </w:rPr>
        <w:t xml:space="preserve">dan </w:t>
      </w:r>
      <w:r w:rsidRPr="00A67002">
        <w:rPr>
          <w:rFonts w:ascii="Arial" w:eastAsia="Arial" w:hAnsi="Arial" w:cs="Arial"/>
        </w:rPr>
        <w:t>R</w:t>
      </w:r>
      <w:r w:rsidRPr="00A67002">
        <w:rPr>
          <w:rFonts w:ascii="Arial" w:eastAsia="Arial" w:hAnsi="Arial" w:cs="Arial"/>
          <w:spacing w:val="2"/>
        </w:rPr>
        <w:t>M</w:t>
      </w:r>
      <w:r w:rsidRPr="00A67002">
        <w:rPr>
          <w:rFonts w:ascii="Arial" w:eastAsia="Arial" w:hAnsi="Arial" w:cs="Arial"/>
        </w:rPr>
        <w:t>5</w:t>
      </w:r>
      <w:r w:rsidRPr="00A67002">
        <w:rPr>
          <w:rFonts w:ascii="Arial" w:eastAsia="Arial" w:hAnsi="Arial" w:cs="Arial"/>
          <w:spacing w:val="-1"/>
        </w:rPr>
        <w:t>0</w:t>
      </w:r>
      <w:r w:rsidRPr="00A67002">
        <w:rPr>
          <w:rFonts w:ascii="Arial" w:eastAsia="Arial" w:hAnsi="Arial" w:cs="Arial"/>
        </w:rPr>
        <w:t>0</w:t>
      </w:r>
      <w:r w:rsidRPr="00A67002">
        <w:rPr>
          <w:rFonts w:ascii="Arial" w:eastAsia="Arial" w:hAnsi="Arial" w:cs="Arial"/>
          <w:spacing w:val="2"/>
        </w:rPr>
        <w:t>,</w:t>
      </w:r>
      <w:r w:rsidRPr="00A67002">
        <w:rPr>
          <w:rFonts w:ascii="Arial" w:eastAsia="Arial" w:hAnsi="Arial" w:cs="Arial"/>
        </w:rPr>
        <w:t>0</w:t>
      </w:r>
      <w:r w:rsidRPr="00A67002">
        <w:rPr>
          <w:rFonts w:ascii="Arial" w:eastAsia="Arial" w:hAnsi="Arial" w:cs="Arial"/>
          <w:spacing w:val="-1"/>
        </w:rPr>
        <w:t>0</w:t>
      </w:r>
      <w:r w:rsidRPr="00A67002">
        <w:rPr>
          <w:rFonts w:ascii="Arial" w:eastAsia="Arial" w:hAnsi="Arial" w:cs="Arial"/>
        </w:rPr>
        <w:t>0</w:t>
      </w:r>
      <w:r w:rsidRPr="00A67002">
        <w:rPr>
          <w:rFonts w:ascii="Arial" w:eastAsia="Arial" w:hAnsi="Arial" w:cs="Arial"/>
          <w:spacing w:val="-6"/>
        </w:rPr>
        <w:t xml:space="preserve"> </w:t>
      </w:r>
      <w:proofErr w:type="spellStart"/>
      <w:r w:rsidR="00A03625" w:rsidRPr="00A67002">
        <w:rPr>
          <w:rFonts w:ascii="Arial" w:eastAsia="Arial" w:hAnsi="Arial" w:cs="Arial"/>
          <w:spacing w:val="2"/>
        </w:rPr>
        <w:t>dengan</w:t>
      </w:r>
      <w:proofErr w:type="spellEnd"/>
      <w:r w:rsidRPr="00A67002">
        <w:rPr>
          <w:rFonts w:ascii="Arial" w:eastAsia="Arial" w:hAnsi="Arial" w:cs="Arial"/>
          <w:spacing w:val="-2"/>
        </w:rPr>
        <w:t xml:space="preserve"> </w:t>
      </w:r>
      <w:r w:rsidRPr="00A67002">
        <w:rPr>
          <w:rFonts w:ascii="Arial" w:eastAsia="Arial" w:hAnsi="Arial" w:cs="Arial"/>
          <w:spacing w:val="2"/>
        </w:rPr>
        <w:t>2</w:t>
      </w:r>
      <w:r w:rsidRPr="00A67002">
        <w:rPr>
          <w:rFonts w:ascii="Arial" w:eastAsia="Arial" w:hAnsi="Arial" w:cs="Arial"/>
        </w:rPr>
        <w:t>5.</w:t>
      </w:r>
      <w:r w:rsidRPr="00A67002">
        <w:rPr>
          <w:rFonts w:ascii="Arial" w:eastAsia="Arial" w:hAnsi="Arial" w:cs="Arial"/>
          <w:spacing w:val="-1"/>
        </w:rPr>
        <w:t>7</w:t>
      </w:r>
      <w:r w:rsidRPr="00A67002">
        <w:rPr>
          <w:rFonts w:ascii="Arial" w:eastAsia="Arial" w:hAnsi="Arial" w:cs="Arial"/>
        </w:rPr>
        <w:t>%</w:t>
      </w:r>
      <w:r w:rsidRPr="00A67002">
        <w:rPr>
          <w:rFonts w:ascii="Arial" w:eastAsia="Arial" w:hAnsi="Arial" w:cs="Arial"/>
          <w:spacing w:val="-3"/>
        </w:rPr>
        <w:t xml:space="preserve"> </w:t>
      </w:r>
      <w:r w:rsidRPr="00A67002">
        <w:rPr>
          <w:rFonts w:ascii="Arial" w:eastAsia="Arial" w:hAnsi="Arial" w:cs="Arial"/>
          <w:spacing w:val="1"/>
        </w:rPr>
        <w:t>(</w:t>
      </w:r>
      <w:r w:rsidRPr="00A67002">
        <w:rPr>
          <w:rFonts w:ascii="Arial" w:eastAsia="Arial" w:hAnsi="Arial" w:cs="Arial"/>
        </w:rPr>
        <w:t>9</w:t>
      </w:r>
      <w:r w:rsidRPr="00A67002">
        <w:rPr>
          <w:rFonts w:ascii="Arial" w:eastAsia="Arial" w:hAnsi="Arial" w:cs="Arial"/>
          <w:spacing w:val="2"/>
        </w:rPr>
        <w:t>,</w:t>
      </w:r>
      <w:r w:rsidRPr="00A67002">
        <w:rPr>
          <w:rFonts w:ascii="Arial" w:eastAsia="Arial" w:hAnsi="Arial" w:cs="Arial"/>
        </w:rPr>
        <w:t>4</w:t>
      </w:r>
      <w:r w:rsidRPr="00A67002">
        <w:rPr>
          <w:rFonts w:ascii="Arial" w:eastAsia="Arial" w:hAnsi="Arial" w:cs="Arial"/>
          <w:spacing w:val="1"/>
        </w:rPr>
        <w:t>6</w:t>
      </w:r>
      <w:r w:rsidRPr="00A67002">
        <w:rPr>
          <w:rFonts w:ascii="Arial" w:eastAsia="Arial" w:hAnsi="Arial" w:cs="Arial"/>
        </w:rPr>
        <w:t>1</w:t>
      </w:r>
      <w:r w:rsidRPr="00A67002">
        <w:rPr>
          <w:rFonts w:ascii="Arial" w:eastAsia="Arial" w:hAnsi="Arial" w:cs="Arial"/>
          <w:spacing w:val="-4"/>
        </w:rPr>
        <w:t xml:space="preserve"> </w:t>
      </w:r>
      <w:r w:rsidRPr="00A67002">
        <w:rPr>
          <w:rFonts w:ascii="Arial" w:eastAsia="Arial" w:hAnsi="Arial" w:cs="Arial"/>
        </w:rPr>
        <w:t>u</w:t>
      </w:r>
      <w:r w:rsidRPr="00A67002">
        <w:rPr>
          <w:rFonts w:ascii="Arial" w:eastAsia="Arial" w:hAnsi="Arial" w:cs="Arial"/>
          <w:spacing w:val="-1"/>
        </w:rPr>
        <w:t>ni</w:t>
      </w:r>
      <w:r w:rsidRPr="00A67002">
        <w:rPr>
          <w:rFonts w:ascii="Arial" w:eastAsia="Arial" w:hAnsi="Arial" w:cs="Arial"/>
        </w:rPr>
        <w:t>t)</w:t>
      </w:r>
      <w:r w:rsidRPr="00A67002">
        <w:rPr>
          <w:rFonts w:ascii="Arial" w:eastAsia="Arial" w:hAnsi="Arial" w:cs="Arial"/>
          <w:spacing w:val="-2"/>
        </w:rPr>
        <w:t xml:space="preserve"> </w:t>
      </w:r>
      <w:r w:rsidR="00A03625" w:rsidRPr="00A67002">
        <w:rPr>
          <w:rFonts w:ascii="Arial" w:eastAsia="Arial" w:hAnsi="Arial" w:cs="Arial"/>
          <w:spacing w:val="-2"/>
        </w:rPr>
        <w:t xml:space="preserve">dan </w:t>
      </w:r>
      <w:proofErr w:type="spellStart"/>
      <w:r w:rsidR="00A03625" w:rsidRPr="00A67002">
        <w:rPr>
          <w:rFonts w:ascii="Arial" w:eastAsia="Arial" w:hAnsi="Arial" w:cs="Arial"/>
          <w:spacing w:val="-2"/>
        </w:rPr>
        <w:t>melebihi</w:t>
      </w:r>
      <w:proofErr w:type="spellEnd"/>
      <w:r w:rsidR="00A03625" w:rsidRPr="00A67002">
        <w:rPr>
          <w:rFonts w:ascii="Arial" w:eastAsia="Arial" w:hAnsi="Arial" w:cs="Arial"/>
          <w:spacing w:val="-2"/>
        </w:rPr>
        <w:t xml:space="preserve"> </w:t>
      </w:r>
      <w:r w:rsidRPr="00A67002">
        <w:rPr>
          <w:rFonts w:ascii="Arial" w:eastAsia="Arial" w:hAnsi="Arial" w:cs="Arial"/>
        </w:rPr>
        <w:t>RM1</w:t>
      </w:r>
      <w:r w:rsidRPr="00A67002">
        <w:rPr>
          <w:rFonts w:ascii="Arial" w:eastAsia="Arial" w:hAnsi="Arial" w:cs="Arial"/>
          <w:spacing w:val="-1"/>
        </w:rPr>
        <w:t>.</w:t>
      </w:r>
      <w:r w:rsidRPr="00A67002">
        <w:rPr>
          <w:rFonts w:ascii="Arial" w:eastAsia="Arial" w:hAnsi="Arial" w:cs="Arial"/>
        </w:rPr>
        <w:t>0</w:t>
      </w:r>
      <w:r w:rsidRPr="00A67002">
        <w:rPr>
          <w:rFonts w:ascii="Arial" w:eastAsia="Arial" w:hAnsi="Arial" w:cs="Arial"/>
          <w:spacing w:val="-4"/>
        </w:rPr>
        <w:t xml:space="preserve"> </w:t>
      </w:r>
      <w:proofErr w:type="spellStart"/>
      <w:r w:rsidR="00A03625" w:rsidRPr="00A67002">
        <w:rPr>
          <w:rFonts w:ascii="Arial" w:eastAsia="Arial" w:hAnsi="Arial" w:cs="Arial"/>
          <w:spacing w:val="2"/>
        </w:rPr>
        <w:t>juta</w:t>
      </w:r>
      <w:proofErr w:type="spellEnd"/>
      <w:r w:rsidR="00A03625" w:rsidRPr="00A67002">
        <w:rPr>
          <w:rFonts w:ascii="Arial" w:eastAsia="Arial" w:hAnsi="Arial" w:cs="Arial"/>
          <w:spacing w:val="2"/>
        </w:rPr>
        <w:t xml:space="preserve"> </w:t>
      </w:r>
      <w:proofErr w:type="spellStart"/>
      <w:r w:rsidR="00A03625" w:rsidRPr="00A67002">
        <w:rPr>
          <w:rFonts w:ascii="Arial" w:eastAsia="Arial" w:hAnsi="Arial" w:cs="Arial"/>
          <w:spacing w:val="2"/>
        </w:rPr>
        <w:t>dengan</w:t>
      </w:r>
      <w:proofErr w:type="spellEnd"/>
      <w:r w:rsidR="00A03625" w:rsidRPr="00A67002">
        <w:rPr>
          <w:rFonts w:ascii="Arial" w:eastAsia="Arial" w:hAnsi="Arial" w:cs="Arial"/>
          <w:spacing w:val="2"/>
        </w:rPr>
        <w:t xml:space="preserve"> </w:t>
      </w:r>
      <w:r w:rsidRPr="00A67002">
        <w:rPr>
          <w:rFonts w:ascii="Arial" w:eastAsia="Arial" w:hAnsi="Arial" w:cs="Arial"/>
        </w:rPr>
        <w:t>1</w:t>
      </w:r>
      <w:r w:rsidRPr="00A67002">
        <w:rPr>
          <w:rFonts w:ascii="Arial" w:eastAsia="Arial" w:hAnsi="Arial" w:cs="Arial"/>
          <w:spacing w:val="-1"/>
        </w:rPr>
        <w:t>2</w:t>
      </w:r>
      <w:r w:rsidRPr="00A67002">
        <w:rPr>
          <w:rFonts w:ascii="Arial" w:eastAsia="Arial" w:hAnsi="Arial" w:cs="Arial"/>
          <w:spacing w:val="2"/>
        </w:rPr>
        <w:t>.</w:t>
      </w:r>
      <w:r w:rsidRPr="00A67002">
        <w:rPr>
          <w:rFonts w:ascii="Arial" w:eastAsia="Arial" w:hAnsi="Arial" w:cs="Arial"/>
        </w:rPr>
        <w:t>6%</w:t>
      </w:r>
      <w:r w:rsidRPr="00A67002">
        <w:rPr>
          <w:rFonts w:ascii="Arial" w:eastAsia="Arial" w:hAnsi="Arial" w:cs="Arial"/>
          <w:spacing w:val="-6"/>
        </w:rPr>
        <w:t xml:space="preserve"> </w:t>
      </w:r>
      <w:r w:rsidRPr="00A67002">
        <w:rPr>
          <w:rFonts w:ascii="Arial" w:eastAsia="Arial" w:hAnsi="Arial" w:cs="Arial"/>
          <w:spacing w:val="3"/>
        </w:rPr>
        <w:t>(</w:t>
      </w:r>
      <w:r w:rsidRPr="00A67002">
        <w:rPr>
          <w:rFonts w:ascii="Arial" w:eastAsia="Arial" w:hAnsi="Arial" w:cs="Arial"/>
        </w:rPr>
        <w:t>4,</w:t>
      </w:r>
      <w:r w:rsidRPr="00A67002">
        <w:rPr>
          <w:rFonts w:ascii="Arial" w:eastAsia="Arial" w:hAnsi="Arial" w:cs="Arial"/>
          <w:spacing w:val="-1"/>
        </w:rPr>
        <w:t>6</w:t>
      </w:r>
      <w:r w:rsidRPr="00A67002">
        <w:rPr>
          <w:rFonts w:ascii="Arial" w:eastAsia="Arial" w:hAnsi="Arial" w:cs="Arial"/>
          <w:spacing w:val="2"/>
        </w:rPr>
        <w:t>5</w:t>
      </w:r>
      <w:r w:rsidRPr="00A67002">
        <w:rPr>
          <w:rFonts w:ascii="Arial" w:eastAsia="Arial" w:hAnsi="Arial" w:cs="Arial"/>
        </w:rPr>
        <w:t>3</w:t>
      </w:r>
      <w:r w:rsidRPr="00A67002">
        <w:rPr>
          <w:rFonts w:ascii="Arial" w:eastAsia="Arial" w:hAnsi="Arial" w:cs="Arial"/>
          <w:spacing w:val="-6"/>
        </w:rPr>
        <w:t xml:space="preserve"> </w:t>
      </w:r>
      <w:r w:rsidRPr="00A67002">
        <w:rPr>
          <w:rFonts w:ascii="Arial" w:eastAsia="Arial" w:hAnsi="Arial" w:cs="Arial"/>
          <w:spacing w:val="-1"/>
        </w:rPr>
        <w:t>u</w:t>
      </w:r>
      <w:r w:rsidRPr="00A67002">
        <w:rPr>
          <w:rFonts w:ascii="Arial" w:eastAsia="Arial" w:hAnsi="Arial" w:cs="Arial"/>
          <w:spacing w:val="2"/>
        </w:rPr>
        <w:t>n</w:t>
      </w:r>
      <w:r w:rsidRPr="00A67002">
        <w:rPr>
          <w:rFonts w:ascii="Arial" w:eastAsia="Arial" w:hAnsi="Arial" w:cs="Arial"/>
          <w:spacing w:val="-1"/>
        </w:rPr>
        <w:t>i</w:t>
      </w:r>
      <w:r w:rsidRPr="00A67002">
        <w:rPr>
          <w:rFonts w:ascii="Arial" w:eastAsia="Arial" w:hAnsi="Arial" w:cs="Arial"/>
        </w:rPr>
        <w:t>t</w:t>
      </w:r>
      <w:r w:rsidRPr="00A67002">
        <w:rPr>
          <w:rFonts w:ascii="Arial" w:eastAsia="Arial" w:hAnsi="Arial" w:cs="Arial"/>
          <w:spacing w:val="1"/>
        </w:rPr>
        <w:t>)</w:t>
      </w:r>
      <w:r w:rsidRPr="00A67002">
        <w:rPr>
          <w:rFonts w:ascii="Arial" w:eastAsia="Arial" w:hAnsi="Arial" w:cs="Arial"/>
        </w:rPr>
        <w:t>.</w:t>
      </w:r>
    </w:p>
    <w:p w14:paraId="607CCFEB" w14:textId="77777777" w:rsidR="00A03625" w:rsidRPr="004062FD" w:rsidRDefault="00A03625" w:rsidP="00A03625">
      <w:pPr>
        <w:pStyle w:val="ListParagraph"/>
        <w:spacing w:after="0" w:line="360" w:lineRule="auto"/>
        <w:ind w:left="567"/>
        <w:jc w:val="both"/>
        <w:rPr>
          <w:rFonts w:ascii="Arial" w:hAnsi="Arial" w:cs="Arial"/>
          <w:bCs/>
          <w:color w:val="0070C0"/>
          <w:lang w:val="en-MY"/>
        </w:rPr>
      </w:pPr>
    </w:p>
    <w:p w14:paraId="5284E831" w14:textId="08771EC1" w:rsidR="00EA0513" w:rsidRPr="00E154D7" w:rsidRDefault="00A03625" w:rsidP="006768B3">
      <w:pPr>
        <w:pStyle w:val="ListParagraph"/>
        <w:numPr>
          <w:ilvl w:val="0"/>
          <w:numId w:val="14"/>
        </w:numPr>
        <w:spacing w:line="360" w:lineRule="auto"/>
        <w:ind w:left="567" w:hanging="567"/>
        <w:jc w:val="both"/>
        <w:rPr>
          <w:rFonts w:ascii="Arial" w:hAnsi="Arial" w:cs="Arial"/>
          <w:lang w:val="ms-MY"/>
        </w:rPr>
      </w:pPr>
      <w:r w:rsidRPr="00E154D7">
        <w:rPr>
          <w:rFonts w:ascii="Arial" w:hAnsi="Arial" w:cs="Arial"/>
          <w:lang w:val="ms-MY"/>
        </w:rPr>
        <w:t xml:space="preserve">Unit </w:t>
      </w:r>
      <w:r w:rsidR="00A67002" w:rsidRPr="00E154D7">
        <w:rPr>
          <w:rFonts w:ascii="Arial" w:hAnsi="Arial" w:cs="Arial"/>
          <w:lang w:val="ms-MY"/>
        </w:rPr>
        <w:t>D</w:t>
      </w:r>
      <w:r w:rsidRPr="00E154D7">
        <w:rPr>
          <w:rFonts w:ascii="Arial" w:hAnsi="Arial" w:cs="Arial"/>
          <w:lang w:val="ms-MY"/>
        </w:rPr>
        <w:t xml:space="preserve">alam </w:t>
      </w:r>
      <w:r w:rsidR="00A67002" w:rsidRPr="00E154D7">
        <w:rPr>
          <w:rFonts w:ascii="Arial" w:hAnsi="Arial" w:cs="Arial"/>
          <w:lang w:val="ms-MY"/>
        </w:rPr>
        <w:t>P</w:t>
      </w:r>
      <w:r w:rsidRPr="00E154D7">
        <w:rPr>
          <w:rFonts w:ascii="Arial" w:hAnsi="Arial" w:cs="Arial"/>
          <w:lang w:val="ms-MY"/>
        </w:rPr>
        <w:t xml:space="preserve">embinaan </w:t>
      </w:r>
      <w:r w:rsidR="00A67002" w:rsidRPr="00E154D7">
        <w:rPr>
          <w:rFonts w:ascii="Arial" w:hAnsi="Arial" w:cs="Arial"/>
          <w:lang w:val="ms-MY"/>
        </w:rPr>
        <w:t>B</w:t>
      </w:r>
      <w:r w:rsidR="00C26FFD" w:rsidRPr="00E154D7">
        <w:rPr>
          <w:rFonts w:ascii="Arial" w:hAnsi="Arial" w:cs="Arial"/>
          <w:lang w:val="ms-MY"/>
        </w:rPr>
        <w:t>elum</w:t>
      </w:r>
      <w:r w:rsidR="00EA0513" w:rsidRPr="00E154D7">
        <w:rPr>
          <w:rFonts w:ascii="Arial" w:hAnsi="Arial" w:cs="Arial"/>
          <w:lang w:val="ms-MY"/>
        </w:rPr>
        <w:t xml:space="preserve"> </w:t>
      </w:r>
      <w:r w:rsidR="00A67002" w:rsidRPr="00E154D7">
        <w:rPr>
          <w:rFonts w:ascii="Arial" w:hAnsi="Arial" w:cs="Arial"/>
          <w:lang w:val="ms-MY"/>
        </w:rPr>
        <w:t>T</w:t>
      </w:r>
      <w:r w:rsidRPr="00E154D7">
        <w:rPr>
          <w:rFonts w:ascii="Arial" w:hAnsi="Arial" w:cs="Arial"/>
          <w:lang w:val="ms-MY"/>
        </w:rPr>
        <w:t xml:space="preserve">erjual </w:t>
      </w:r>
      <w:r w:rsidR="00EA0513" w:rsidRPr="00E154D7">
        <w:rPr>
          <w:rFonts w:ascii="Arial" w:hAnsi="Arial" w:cs="Arial"/>
          <w:lang w:val="ms-MY"/>
        </w:rPr>
        <w:t xml:space="preserve">bertambah baik apabila </w:t>
      </w:r>
      <w:r w:rsidR="00D41CA0" w:rsidRPr="00E154D7">
        <w:rPr>
          <w:rFonts w:ascii="Arial" w:hAnsi="Arial" w:cs="Arial"/>
          <w:lang w:val="ms-MY"/>
        </w:rPr>
        <w:t>bilangannya</w:t>
      </w:r>
      <w:r w:rsidR="00EA0513" w:rsidRPr="00E154D7">
        <w:rPr>
          <w:rFonts w:ascii="Arial" w:hAnsi="Arial" w:cs="Arial"/>
          <w:lang w:val="ms-MY"/>
        </w:rPr>
        <w:t xml:space="preserve"> berkurangan sebanyak 2.1% kepada 70,231 unit. Bagaimanapun, </w:t>
      </w:r>
      <w:r w:rsidR="00A67002" w:rsidRPr="00E154D7">
        <w:rPr>
          <w:rFonts w:ascii="Arial" w:hAnsi="Arial" w:cs="Arial"/>
          <w:lang w:val="ms-MY"/>
        </w:rPr>
        <w:t>B</w:t>
      </w:r>
      <w:r w:rsidRPr="00E154D7">
        <w:rPr>
          <w:rFonts w:ascii="Arial" w:hAnsi="Arial" w:cs="Arial"/>
          <w:lang w:val="ms-MY"/>
        </w:rPr>
        <w:t xml:space="preserve">elum </w:t>
      </w:r>
      <w:r w:rsidR="00A67002" w:rsidRPr="00E154D7">
        <w:rPr>
          <w:rFonts w:ascii="Arial" w:hAnsi="Arial" w:cs="Arial"/>
          <w:lang w:val="ms-MY"/>
        </w:rPr>
        <w:t>D</w:t>
      </w:r>
      <w:r w:rsidRPr="00E154D7">
        <w:rPr>
          <w:rFonts w:ascii="Arial" w:hAnsi="Arial" w:cs="Arial"/>
          <w:lang w:val="ms-MY"/>
        </w:rPr>
        <w:t xml:space="preserve">ibina </w:t>
      </w:r>
      <w:r w:rsidR="00A67002" w:rsidRPr="00E154D7">
        <w:rPr>
          <w:rFonts w:ascii="Arial" w:hAnsi="Arial" w:cs="Arial"/>
          <w:lang w:val="ms-MY"/>
        </w:rPr>
        <w:t>B</w:t>
      </w:r>
      <w:r w:rsidRPr="00E154D7">
        <w:rPr>
          <w:rFonts w:ascii="Arial" w:hAnsi="Arial" w:cs="Arial"/>
          <w:lang w:val="ms-MY"/>
        </w:rPr>
        <w:t>elum</w:t>
      </w:r>
      <w:r w:rsidR="00A67002" w:rsidRPr="00E154D7">
        <w:rPr>
          <w:rFonts w:ascii="Arial" w:hAnsi="Arial" w:cs="Arial"/>
          <w:lang w:val="ms-MY"/>
        </w:rPr>
        <w:t xml:space="preserve"> T</w:t>
      </w:r>
      <w:r w:rsidRPr="00E154D7">
        <w:rPr>
          <w:rFonts w:ascii="Arial" w:hAnsi="Arial" w:cs="Arial"/>
          <w:lang w:val="ms-MY"/>
        </w:rPr>
        <w:t xml:space="preserve">erjual </w:t>
      </w:r>
      <w:r w:rsidR="00EA0513" w:rsidRPr="00E154D7">
        <w:rPr>
          <w:rFonts w:ascii="Arial" w:hAnsi="Arial" w:cs="Arial"/>
          <w:lang w:val="ms-MY"/>
        </w:rPr>
        <w:t>me</w:t>
      </w:r>
      <w:r w:rsidRPr="00E154D7">
        <w:rPr>
          <w:rFonts w:ascii="Arial" w:hAnsi="Arial" w:cs="Arial"/>
          <w:lang w:val="ms-MY"/>
        </w:rPr>
        <w:t xml:space="preserve">rekod </w:t>
      </w:r>
      <w:r w:rsidR="00EA0513" w:rsidRPr="00E154D7">
        <w:rPr>
          <w:rFonts w:ascii="Arial" w:hAnsi="Arial" w:cs="Arial"/>
          <w:lang w:val="ms-MY"/>
        </w:rPr>
        <w:t xml:space="preserve">peningkatan mendadak </w:t>
      </w:r>
      <w:r w:rsidRPr="00E154D7">
        <w:rPr>
          <w:rFonts w:ascii="Arial" w:hAnsi="Arial" w:cs="Arial"/>
          <w:lang w:val="ms-MY"/>
        </w:rPr>
        <w:t xml:space="preserve">sebanyak </w:t>
      </w:r>
      <w:r w:rsidR="00EA0513" w:rsidRPr="00E154D7">
        <w:rPr>
          <w:rFonts w:ascii="Arial" w:hAnsi="Arial" w:cs="Arial"/>
          <w:lang w:val="ms-MY"/>
        </w:rPr>
        <w:t>69</w:t>
      </w:r>
      <w:r w:rsidR="00D41CA0" w:rsidRPr="00E154D7">
        <w:rPr>
          <w:rFonts w:ascii="Arial" w:hAnsi="Arial" w:cs="Arial"/>
          <w:lang w:val="ms-MY"/>
        </w:rPr>
        <w:t>.</w:t>
      </w:r>
      <w:r w:rsidR="00EA0513" w:rsidRPr="00E154D7">
        <w:rPr>
          <w:rFonts w:ascii="Arial" w:hAnsi="Arial" w:cs="Arial"/>
          <w:lang w:val="ms-MY"/>
        </w:rPr>
        <w:t>2% kepada 21,960 unit.</w:t>
      </w:r>
    </w:p>
    <w:p w14:paraId="5D158D31" w14:textId="77777777" w:rsidR="00D41CA0" w:rsidRPr="004062FD" w:rsidRDefault="00D41CA0" w:rsidP="00D41CA0">
      <w:pPr>
        <w:pStyle w:val="ListParagraph"/>
        <w:rPr>
          <w:rFonts w:ascii="Arial" w:hAnsi="Arial" w:cs="Arial"/>
          <w:color w:val="FF0000"/>
          <w:lang w:val="ms-MY"/>
        </w:rPr>
      </w:pPr>
    </w:p>
    <w:p w14:paraId="43F86522" w14:textId="3AEE2A55" w:rsidR="006768B3" w:rsidRPr="004062FD" w:rsidRDefault="00EA0513" w:rsidP="006768B3">
      <w:pPr>
        <w:pStyle w:val="ListParagraph"/>
        <w:numPr>
          <w:ilvl w:val="0"/>
          <w:numId w:val="14"/>
        </w:numPr>
        <w:spacing w:line="360" w:lineRule="auto"/>
        <w:ind w:left="567" w:hanging="567"/>
        <w:jc w:val="both"/>
        <w:rPr>
          <w:rFonts w:ascii="Arial" w:hAnsi="Arial" w:cs="Arial"/>
          <w:lang w:val="ms-MY"/>
        </w:rPr>
      </w:pPr>
      <w:r w:rsidRPr="004062FD">
        <w:rPr>
          <w:rFonts w:ascii="Arial" w:hAnsi="Arial" w:cs="Arial"/>
          <w:lang w:val="ms-MY"/>
        </w:rPr>
        <w:t>Aktiviti pembinaan me</w:t>
      </w:r>
      <w:r w:rsidR="006768B3" w:rsidRPr="004062FD">
        <w:rPr>
          <w:rFonts w:ascii="Arial" w:hAnsi="Arial" w:cs="Arial"/>
          <w:lang w:val="ms-MY"/>
        </w:rPr>
        <w:t xml:space="preserve">rekod </w:t>
      </w:r>
      <w:r w:rsidRPr="004062FD">
        <w:rPr>
          <w:rFonts w:ascii="Arial" w:hAnsi="Arial" w:cs="Arial"/>
          <w:lang w:val="ms-MY"/>
        </w:rPr>
        <w:t xml:space="preserve">peningkatan dalam </w:t>
      </w:r>
      <w:r w:rsidR="006768B3" w:rsidRPr="004062FD">
        <w:rPr>
          <w:rFonts w:ascii="Arial" w:hAnsi="Arial" w:cs="Arial"/>
          <w:lang w:val="ms-MY"/>
        </w:rPr>
        <w:t xml:space="preserve">kediaman </w:t>
      </w:r>
      <w:r w:rsidR="00A67002">
        <w:rPr>
          <w:rFonts w:ascii="Arial" w:hAnsi="Arial" w:cs="Arial"/>
          <w:lang w:val="ms-MY"/>
        </w:rPr>
        <w:t>M</w:t>
      </w:r>
      <w:r w:rsidR="00FC1680" w:rsidRPr="004062FD">
        <w:rPr>
          <w:rFonts w:ascii="Arial" w:hAnsi="Arial" w:cs="Arial"/>
          <w:lang w:val="ms-MY"/>
        </w:rPr>
        <w:t xml:space="preserve">ula </w:t>
      </w:r>
      <w:r w:rsidR="00A67002">
        <w:rPr>
          <w:rFonts w:ascii="Arial" w:hAnsi="Arial" w:cs="Arial"/>
          <w:lang w:val="ms-MY"/>
        </w:rPr>
        <w:t>D</w:t>
      </w:r>
      <w:r w:rsidR="00466E86" w:rsidRPr="004062FD">
        <w:rPr>
          <w:rFonts w:ascii="Arial" w:hAnsi="Arial" w:cs="Arial"/>
          <w:lang w:val="ms-MY"/>
        </w:rPr>
        <w:t>i</w:t>
      </w:r>
      <w:r w:rsidR="00FC1680" w:rsidRPr="004062FD">
        <w:rPr>
          <w:rFonts w:ascii="Arial" w:hAnsi="Arial" w:cs="Arial"/>
          <w:lang w:val="ms-MY"/>
        </w:rPr>
        <w:t>bina</w:t>
      </w:r>
      <w:r w:rsidRPr="004062FD">
        <w:rPr>
          <w:rFonts w:ascii="Arial" w:hAnsi="Arial" w:cs="Arial"/>
          <w:lang w:val="ms-MY"/>
        </w:rPr>
        <w:t xml:space="preserve">, meningkat </w:t>
      </w:r>
      <w:r w:rsidR="006768B3" w:rsidRPr="004062FD">
        <w:rPr>
          <w:rFonts w:ascii="Arial" w:hAnsi="Arial" w:cs="Arial"/>
          <w:lang w:val="ms-MY"/>
        </w:rPr>
        <w:t>pada</w:t>
      </w:r>
      <w:r w:rsidRPr="004062FD">
        <w:rPr>
          <w:rFonts w:ascii="Arial" w:hAnsi="Arial" w:cs="Arial"/>
          <w:lang w:val="ms-MY"/>
        </w:rPr>
        <w:t xml:space="preserve"> 5.0% kepada 86,258 unit dan </w:t>
      </w:r>
      <w:r w:rsidR="00A67002">
        <w:rPr>
          <w:rFonts w:ascii="Arial" w:hAnsi="Arial" w:cs="Arial"/>
          <w:lang w:val="ms-MY"/>
        </w:rPr>
        <w:t>P</w:t>
      </w:r>
      <w:r w:rsidR="006768B3" w:rsidRPr="004062FD">
        <w:rPr>
          <w:rFonts w:ascii="Arial" w:hAnsi="Arial" w:cs="Arial"/>
          <w:lang w:val="ms-MY"/>
        </w:rPr>
        <w:t xml:space="preserve">enawaran </w:t>
      </w:r>
      <w:r w:rsidR="00A67002">
        <w:rPr>
          <w:rFonts w:ascii="Arial" w:hAnsi="Arial" w:cs="Arial"/>
          <w:lang w:val="ms-MY"/>
        </w:rPr>
        <w:t>B</w:t>
      </w:r>
      <w:r w:rsidR="006768B3" w:rsidRPr="004062FD">
        <w:rPr>
          <w:rFonts w:ascii="Arial" w:hAnsi="Arial" w:cs="Arial"/>
          <w:lang w:val="ms-MY"/>
        </w:rPr>
        <w:t xml:space="preserve">aru </w:t>
      </w:r>
      <w:r w:rsidR="00A67002">
        <w:rPr>
          <w:rFonts w:ascii="Arial" w:hAnsi="Arial" w:cs="Arial"/>
          <w:lang w:val="ms-MY"/>
        </w:rPr>
        <w:t>D</w:t>
      </w:r>
      <w:r w:rsidR="006768B3" w:rsidRPr="004062FD">
        <w:rPr>
          <w:rFonts w:ascii="Arial" w:hAnsi="Arial" w:cs="Arial"/>
          <w:lang w:val="ms-MY"/>
        </w:rPr>
        <w:t xml:space="preserve">irancang </w:t>
      </w:r>
      <w:r w:rsidRPr="004062FD">
        <w:rPr>
          <w:rFonts w:ascii="Arial" w:hAnsi="Arial" w:cs="Arial"/>
          <w:lang w:val="ms-MY"/>
        </w:rPr>
        <w:t xml:space="preserve">meningkat </w:t>
      </w:r>
      <w:r w:rsidR="006768B3" w:rsidRPr="004062FD">
        <w:rPr>
          <w:rFonts w:ascii="Arial" w:hAnsi="Arial" w:cs="Arial"/>
          <w:lang w:val="ms-MY"/>
        </w:rPr>
        <w:t>pada</w:t>
      </w:r>
      <w:r w:rsidRPr="004062FD">
        <w:rPr>
          <w:rFonts w:ascii="Arial" w:hAnsi="Arial" w:cs="Arial"/>
          <w:lang w:val="ms-MY"/>
        </w:rPr>
        <w:t xml:space="preserve"> 8.2% kepada 77,585 unit berbanding tahun 2020. Sebaliknya,</w:t>
      </w:r>
      <w:r w:rsidR="00FC1680" w:rsidRPr="004062FD">
        <w:rPr>
          <w:rFonts w:ascii="Arial" w:hAnsi="Arial" w:cs="Arial"/>
          <w:lang w:val="ms-MY"/>
        </w:rPr>
        <w:t xml:space="preserve"> </w:t>
      </w:r>
      <w:r w:rsidR="00A67002">
        <w:rPr>
          <w:rFonts w:ascii="Arial" w:hAnsi="Arial" w:cs="Arial"/>
          <w:lang w:val="ms-MY"/>
        </w:rPr>
        <w:t>S</w:t>
      </w:r>
      <w:r w:rsidR="00FC1680" w:rsidRPr="004062FD">
        <w:rPr>
          <w:rFonts w:ascii="Arial" w:hAnsi="Arial" w:cs="Arial"/>
          <w:lang w:val="ms-MY"/>
        </w:rPr>
        <w:t xml:space="preserve">iap </w:t>
      </w:r>
      <w:r w:rsidR="00A67002">
        <w:rPr>
          <w:rFonts w:ascii="Arial" w:hAnsi="Arial" w:cs="Arial"/>
          <w:lang w:val="ms-MY"/>
        </w:rPr>
        <w:t>D</w:t>
      </w:r>
      <w:r w:rsidR="00FC1680" w:rsidRPr="004062FD">
        <w:rPr>
          <w:rFonts w:ascii="Arial" w:hAnsi="Arial" w:cs="Arial"/>
          <w:lang w:val="ms-MY"/>
        </w:rPr>
        <w:t>ibina</w:t>
      </w:r>
      <w:r w:rsidRPr="004062FD">
        <w:rPr>
          <w:rFonts w:ascii="Arial" w:hAnsi="Arial" w:cs="Arial"/>
          <w:lang w:val="ms-MY"/>
        </w:rPr>
        <w:t xml:space="preserve"> </w:t>
      </w:r>
      <w:r w:rsidR="006768B3" w:rsidRPr="004062FD">
        <w:rPr>
          <w:rFonts w:ascii="Arial" w:hAnsi="Arial" w:cs="Arial"/>
          <w:lang w:val="ms-MY"/>
        </w:rPr>
        <w:t>menurun</w:t>
      </w:r>
      <w:r w:rsidRPr="004062FD">
        <w:rPr>
          <w:rFonts w:ascii="Arial" w:hAnsi="Arial" w:cs="Arial"/>
          <w:lang w:val="ms-MY"/>
        </w:rPr>
        <w:t xml:space="preserve"> </w:t>
      </w:r>
      <w:r w:rsidR="006768B3" w:rsidRPr="004062FD">
        <w:rPr>
          <w:rFonts w:ascii="Arial" w:hAnsi="Arial" w:cs="Arial"/>
          <w:lang w:val="ms-MY"/>
        </w:rPr>
        <w:t>pada</w:t>
      </w:r>
      <w:r w:rsidRPr="004062FD">
        <w:rPr>
          <w:rFonts w:ascii="Arial" w:hAnsi="Arial" w:cs="Arial"/>
          <w:lang w:val="ms-MY"/>
        </w:rPr>
        <w:t xml:space="preserve"> 0.8% kepada 76,393 unit.</w:t>
      </w:r>
    </w:p>
    <w:p w14:paraId="6F10CB96" w14:textId="77777777" w:rsidR="00FC1680" w:rsidRPr="004062FD" w:rsidRDefault="00FC1680" w:rsidP="006768B3">
      <w:pPr>
        <w:pStyle w:val="ListParagraph"/>
        <w:ind w:left="567" w:hanging="567"/>
        <w:rPr>
          <w:rFonts w:ascii="Arial" w:hAnsi="Arial" w:cs="Arial"/>
          <w:lang w:val="ms-MY"/>
        </w:rPr>
      </w:pPr>
    </w:p>
    <w:p w14:paraId="013A5906" w14:textId="253C97EB" w:rsidR="00EA0513" w:rsidRPr="004062FD" w:rsidRDefault="00EA0513" w:rsidP="006768B3">
      <w:pPr>
        <w:pStyle w:val="ListParagraph"/>
        <w:numPr>
          <w:ilvl w:val="0"/>
          <w:numId w:val="14"/>
        </w:numPr>
        <w:spacing w:line="360" w:lineRule="auto"/>
        <w:ind w:left="567" w:hanging="567"/>
        <w:jc w:val="both"/>
        <w:rPr>
          <w:rFonts w:ascii="Arial" w:hAnsi="Arial" w:cs="Arial"/>
          <w:lang w:val="ms-MY"/>
        </w:rPr>
      </w:pPr>
      <w:r w:rsidRPr="004062FD">
        <w:rPr>
          <w:rFonts w:ascii="Arial" w:hAnsi="Arial" w:cs="Arial"/>
          <w:lang w:val="ms-MY"/>
        </w:rPr>
        <w:t>Indeks Harga Rumah Malaysia (</w:t>
      </w:r>
      <w:r w:rsidR="006768B3" w:rsidRPr="004062FD">
        <w:rPr>
          <w:rFonts w:ascii="Arial" w:hAnsi="Arial" w:cs="Arial"/>
          <w:lang w:val="ms-MY"/>
        </w:rPr>
        <w:t>IHRM</w:t>
      </w:r>
      <w:r w:rsidRPr="004062FD">
        <w:rPr>
          <w:rFonts w:ascii="Arial" w:hAnsi="Arial" w:cs="Arial"/>
          <w:lang w:val="ms-MY"/>
        </w:rPr>
        <w:t xml:space="preserve">) berada </w:t>
      </w:r>
      <w:r w:rsidR="006768B3" w:rsidRPr="004062FD">
        <w:rPr>
          <w:rFonts w:ascii="Arial" w:hAnsi="Arial" w:cs="Arial"/>
          <w:lang w:val="ms-MY"/>
        </w:rPr>
        <w:t>di</w:t>
      </w:r>
      <w:r w:rsidRPr="004062FD">
        <w:rPr>
          <w:rFonts w:ascii="Arial" w:hAnsi="Arial" w:cs="Arial"/>
          <w:lang w:val="ms-MY"/>
        </w:rPr>
        <w:t xml:space="preserve"> 201.5 mata pada </w:t>
      </w:r>
      <w:r w:rsidR="00466E86" w:rsidRPr="004062FD">
        <w:rPr>
          <w:rFonts w:ascii="Arial" w:hAnsi="Arial" w:cs="Arial"/>
        </w:rPr>
        <w:t>2021</w:t>
      </w:r>
      <w:r w:rsidR="00466E86" w:rsidRPr="004062FD">
        <w:rPr>
          <w:rFonts w:ascii="Arial" w:hAnsi="Arial" w:cs="Arial"/>
          <w:vertAlign w:val="superscript"/>
        </w:rPr>
        <w:t>P</w:t>
      </w:r>
      <w:r w:rsidRPr="004062FD">
        <w:rPr>
          <w:rFonts w:ascii="Arial" w:hAnsi="Arial" w:cs="Arial"/>
          <w:lang w:val="ms-MY"/>
        </w:rPr>
        <w:t xml:space="preserve"> dengan pertumbuhan tahunan yang rendah </w:t>
      </w:r>
      <w:r w:rsidR="006768B3" w:rsidRPr="004062FD">
        <w:rPr>
          <w:rFonts w:ascii="Arial" w:hAnsi="Arial" w:cs="Arial"/>
          <w:lang w:val="ms-MY"/>
        </w:rPr>
        <w:t>pada</w:t>
      </w:r>
      <w:r w:rsidRPr="004062FD">
        <w:rPr>
          <w:rFonts w:ascii="Arial" w:hAnsi="Arial" w:cs="Arial"/>
          <w:lang w:val="ms-MY"/>
        </w:rPr>
        <w:t xml:space="preserve"> 0.6%. Indeks Harga Rumah Teres berjaya mengekalkan pertumbuhan pada 2.0%. Walau bagaimanapun, Indeks Harga Rumah Bertingkat Tinggi, Rumah Berkembar da</w:t>
      </w:r>
      <w:r w:rsidR="00466E86" w:rsidRPr="004062FD">
        <w:rPr>
          <w:rFonts w:ascii="Arial" w:hAnsi="Arial" w:cs="Arial"/>
          <w:lang w:val="ms-MY"/>
        </w:rPr>
        <w:t xml:space="preserve">n Sesebuah </w:t>
      </w:r>
      <w:r w:rsidRPr="004062FD">
        <w:rPr>
          <w:rFonts w:ascii="Arial" w:hAnsi="Arial" w:cs="Arial"/>
          <w:lang w:val="ms-MY"/>
        </w:rPr>
        <w:t>masing-masing me</w:t>
      </w:r>
      <w:r w:rsidR="006768B3" w:rsidRPr="004062FD">
        <w:rPr>
          <w:rFonts w:ascii="Arial" w:hAnsi="Arial" w:cs="Arial"/>
          <w:lang w:val="ms-MY"/>
        </w:rPr>
        <w:t xml:space="preserve">rekodkan </w:t>
      </w:r>
      <w:r w:rsidRPr="004062FD">
        <w:rPr>
          <w:rFonts w:ascii="Arial" w:hAnsi="Arial" w:cs="Arial"/>
          <w:lang w:val="ms-MY"/>
        </w:rPr>
        <w:t>penurunan</w:t>
      </w:r>
      <w:r w:rsidR="00466E86" w:rsidRPr="004062FD">
        <w:rPr>
          <w:rFonts w:ascii="Arial" w:hAnsi="Arial" w:cs="Arial"/>
          <w:lang w:val="ms-MY"/>
        </w:rPr>
        <w:t xml:space="preserve"> </w:t>
      </w:r>
      <w:r w:rsidR="006768B3" w:rsidRPr="004062FD">
        <w:rPr>
          <w:rFonts w:ascii="Arial" w:hAnsi="Arial" w:cs="Arial"/>
          <w:lang w:val="ms-MY"/>
        </w:rPr>
        <w:t xml:space="preserve">kecil </w:t>
      </w:r>
      <w:r w:rsidRPr="004062FD">
        <w:rPr>
          <w:rFonts w:ascii="Arial" w:hAnsi="Arial" w:cs="Arial"/>
          <w:lang w:val="ms-MY"/>
        </w:rPr>
        <w:t>sebanyak 0.2%, 0.1% dan 3.3%. Negeri utama menyaksikan pergerakan bercampur</w:t>
      </w:r>
      <w:r w:rsidR="00100463" w:rsidRPr="004062FD">
        <w:rPr>
          <w:rFonts w:ascii="Arial" w:hAnsi="Arial" w:cs="Arial"/>
          <w:lang w:val="ms-MY"/>
        </w:rPr>
        <w:t xml:space="preserve"> di </w:t>
      </w:r>
      <w:r w:rsidRPr="004062FD">
        <w:rPr>
          <w:rFonts w:ascii="Arial" w:hAnsi="Arial" w:cs="Arial"/>
          <w:lang w:val="ms-MY"/>
        </w:rPr>
        <w:t xml:space="preserve">dalam Indeks Harga Rumah keseluruhan - Selangor dan Johor masing-masing meningkat </w:t>
      </w:r>
      <w:r w:rsidR="00100463" w:rsidRPr="004062FD">
        <w:rPr>
          <w:rFonts w:ascii="Arial" w:hAnsi="Arial" w:cs="Arial"/>
          <w:lang w:val="ms-MY"/>
        </w:rPr>
        <w:t xml:space="preserve">pada </w:t>
      </w:r>
      <w:r w:rsidRPr="004062FD">
        <w:rPr>
          <w:rFonts w:ascii="Arial" w:hAnsi="Arial" w:cs="Arial"/>
          <w:lang w:val="ms-MY"/>
        </w:rPr>
        <w:t xml:space="preserve">1.6% dan 2.6% manakala </w:t>
      </w:r>
      <w:r w:rsidR="00466E86" w:rsidRPr="004062FD">
        <w:rPr>
          <w:rFonts w:ascii="Arial" w:hAnsi="Arial" w:cs="Arial"/>
          <w:lang w:val="ms-MY"/>
        </w:rPr>
        <w:t>WP</w:t>
      </w:r>
      <w:r w:rsidRPr="004062FD">
        <w:rPr>
          <w:rFonts w:ascii="Arial" w:hAnsi="Arial" w:cs="Arial"/>
          <w:lang w:val="ms-MY"/>
        </w:rPr>
        <w:t xml:space="preserve"> Kuala Lumpur dan Pulau Pinang masing-masing turun </w:t>
      </w:r>
      <w:r w:rsidR="00100463" w:rsidRPr="004062FD">
        <w:rPr>
          <w:rFonts w:ascii="Arial" w:hAnsi="Arial" w:cs="Arial"/>
          <w:lang w:val="ms-MY"/>
        </w:rPr>
        <w:t xml:space="preserve">pada </w:t>
      </w:r>
      <w:r w:rsidRPr="004062FD">
        <w:rPr>
          <w:rFonts w:ascii="Arial" w:hAnsi="Arial" w:cs="Arial"/>
          <w:lang w:val="ms-MY"/>
        </w:rPr>
        <w:t>3.6% dan 1.7%.</w:t>
      </w:r>
    </w:p>
    <w:p w14:paraId="3F38FAE3" w14:textId="276EF82F" w:rsidR="00A67002" w:rsidRDefault="00A67002" w:rsidP="00507410">
      <w:pPr>
        <w:spacing w:line="360" w:lineRule="auto"/>
        <w:jc w:val="both"/>
        <w:rPr>
          <w:rFonts w:ascii="Arial" w:hAnsi="Arial" w:cs="Arial"/>
          <w:b/>
          <w:caps/>
          <w:lang w:val="ms-MY"/>
        </w:rPr>
      </w:pPr>
    </w:p>
    <w:p w14:paraId="6733E04A" w14:textId="5EB2DB31" w:rsidR="00BC7A8D" w:rsidRDefault="00BC7A8D" w:rsidP="00507410">
      <w:pPr>
        <w:spacing w:line="360" w:lineRule="auto"/>
        <w:jc w:val="both"/>
        <w:rPr>
          <w:rFonts w:ascii="Arial" w:hAnsi="Arial" w:cs="Arial"/>
          <w:b/>
          <w:caps/>
          <w:lang w:val="ms-MY"/>
        </w:rPr>
      </w:pPr>
    </w:p>
    <w:p w14:paraId="0E8FD3D3" w14:textId="77777777" w:rsidR="00BC7A8D" w:rsidRDefault="00BC7A8D" w:rsidP="00507410">
      <w:pPr>
        <w:spacing w:line="360" w:lineRule="auto"/>
        <w:jc w:val="both"/>
        <w:rPr>
          <w:rFonts w:ascii="Arial" w:hAnsi="Arial" w:cs="Arial"/>
          <w:b/>
          <w:caps/>
          <w:lang w:val="ms-MY"/>
        </w:rPr>
      </w:pPr>
    </w:p>
    <w:p w14:paraId="7E6378BD" w14:textId="49A75C44" w:rsidR="00425F95" w:rsidRPr="004062FD" w:rsidRDefault="008D55F2" w:rsidP="00507410">
      <w:pPr>
        <w:spacing w:line="360" w:lineRule="auto"/>
        <w:jc w:val="both"/>
        <w:rPr>
          <w:rFonts w:ascii="Arial" w:hAnsi="Arial" w:cs="Arial"/>
          <w:b/>
          <w:caps/>
          <w:lang w:val="ms-MY"/>
        </w:rPr>
      </w:pPr>
      <w:r w:rsidRPr="004062FD">
        <w:rPr>
          <w:rFonts w:ascii="Arial" w:hAnsi="Arial" w:cs="Arial"/>
          <w:b/>
          <w:caps/>
          <w:lang w:val="ms-MY"/>
        </w:rPr>
        <w:lastRenderedPageBreak/>
        <w:t>H</w:t>
      </w:r>
      <w:r w:rsidR="00425F95" w:rsidRPr="004062FD">
        <w:rPr>
          <w:rFonts w:ascii="Arial" w:hAnsi="Arial" w:cs="Arial"/>
          <w:b/>
          <w:caps/>
          <w:lang w:val="ms-MY"/>
        </w:rPr>
        <w:t xml:space="preserve">ARTA TANAH </w:t>
      </w:r>
      <w:r w:rsidR="00881942">
        <w:rPr>
          <w:rFonts w:ascii="Arial" w:hAnsi="Arial" w:cs="Arial"/>
          <w:b/>
          <w:caps/>
          <w:lang w:val="ms-MY"/>
        </w:rPr>
        <w:t>PERDAGANGAN</w:t>
      </w:r>
    </w:p>
    <w:p w14:paraId="3A7476CF" w14:textId="188CF56D" w:rsidR="00100463" w:rsidRPr="004062FD" w:rsidRDefault="00100463" w:rsidP="00100463">
      <w:pPr>
        <w:pStyle w:val="ListParagraph"/>
        <w:numPr>
          <w:ilvl w:val="0"/>
          <w:numId w:val="14"/>
        </w:numPr>
        <w:spacing w:line="360" w:lineRule="auto"/>
        <w:ind w:left="450" w:hanging="450"/>
        <w:jc w:val="both"/>
        <w:rPr>
          <w:rFonts w:ascii="Arial" w:hAnsi="Arial" w:cs="Arial"/>
          <w:bCs/>
          <w:lang w:val="ms-MY"/>
        </w:rPr>
      </w:pPr>
      <w:r w:rsidRPr="004062FD">
        <w:rPr>
          <w:rFonts w:ascii="Arial" w:hAnsi="Arial" w:cs="Arial"/>
          <w:bCs/>
          <w:lang w:val="ms-MY"/>
        </w:rPr>
        <w:t xml:space="preserve">Subsektor </w:t>
      </w:r>
      <w:r w:rsidR="00881942">
        <w:rPr>
          <w:rFonts w:ascii="Arial" w:hAnsi="Arial" w:cs="Arial"/>
          <w:bCs/>
          <w:lang w:val="ms-MY"/>
        </w:rPr>
        <w:t>perdagangan</w:t>
      </w:r>
      <w:r w:rsidRPr="004062FD">
        <w:rPr>
          <w:rFonts w:ascii="Arial" w:hAnsi="Arial" w:cs="Arial"/>
          <w:bCs/>
          <w:lang w:val="ms-MY"/>
        </w:rPr>
        <w:t xml:space="preserve"> menyaksikan prestasi yang baik pada 2021. </w:t>
      </w:r>
      <w:r w:rsidR="00EA0513" w:rsidRPr="004062FD">
        <w:rPr>
          <w:rFonts w:ascii="Arial" w:hAnsi="Arial" w:cs="Arial"/>
          <w:bCs/>
          <w:lang w:val="ms-MY"/>
        </w:rPr>
        <w:t xml:space="preserve">Terdapat 22,428 </w:t>
      </w:r>
      <w:r w:rsidRPr="004062FD">
        <w:rPr>
          <w:rFonts w:ascii="Arial" w:hAnsi="Arial" w:cs="Arial"/>
          <w:bCs/>
          <w:lang w:val="ms-MY"/>
        </w:rPr>
        <w:t xml:space="preserve">transaksi </w:t>
      </w:r>
      <w:r w:rsidR="00EA0513" w:rsidRPr="004062FD">
        <w:rPr>
          <w:rFonts w:ascii="Arial" w:hAnsi="Arial" w:cs="Arial"/>
          <w:bCs/>
          <w:lang w:val="ms-MY"/>
        </w:rPr>
        <w:t>bernilai RM27.94 bilion di</w:t>
      </w:r>
      <w:r w:rsidRPr="004062FD">
        <w:rPr>
          <w:rFonts w:ascii="Arial" w:hAnsi="Arial" w:cs="Arial"/>
          <w:bCs/>
          <w:lang w:val="ms-MY"/>
        </w:rPr>
        <w:t>rekodkan</w:t>
      </w:r>
      <w:r w:rsidR="00EA0513" w:rsidRPr="004062FD">
        <w:rPr>
          <w:rFonts w:ascii="Arial" w:hAnsi="Arial" w:cs="Arial"/>
          <w:bCs/>
          <w:lang w:val="ms-MY"/>
        </w:rPr>
        <w:t xml:space="preserve"> pada 2021, peningkatan 10.7% </w:t>
      </w:r>
      <w:r w:rsidRPr="004062FD">
        <w:rPr>
          <w:rFonts w:ascii="Arial" w:hAnsi="Arial" w:cs="Arial"/>
          <w:bCs/>
          <w:lang w:val="ms-MY"/>
        </w:rPr>
        <w:t xml:space="preserve">di </w:t>
      </w:r>
      <w:r w:rsidR="00EA0513" w:rsidRPr="004062FD">
        <w:rPr>
          <w:rFonts w:ascii="Arial" w:hAnsi="Arial" w:cs="Arial"/>
          <w:bCs/>
          <w:lang w:val="ms-MY"/>
        </w:rPr>
        <w:t xml:space="preserve">dalam </w:t>
      </w:r>
      <w:r w:rsidR="00466E86" w:rsidRPr="004062FD">
        <w:rPr>
          <w:rFonts w:ascii="Arial" w:hAnsi="Arial" w:cs="Arial"/>
          <w:bCs/>
          <w:lang w:val="ms-MY"/>
        </w:rPr>
        <w:t xml:space="preserve">bilangan </w:t>
      </w:r>
      <w:r w:rsidR="00EA0513" w:rsidRPr="004062FD">
        <w:rPr>
          <w:rFonts w:ascii="Arial" w:hAnsi="Arial" w:cs="Arial"/>
          <w:bCs/>
          <w:lang w:val="ms-MY"/>
        </w:rPr>
        <w:t xml:space="preserve">dan 43.1% </w:t>
      </w:r>
      <w:r w:rsidRPr="004062FD">
        <w:rPr>
          <w:rFonts w:ascii="Arial" w:hAnsi="Arial" w:cs="Arial"/>
          <w:bCs/>
          <w:lang w:val="ms-MY"/>
        </w:rPr>
        <w:t xml:space="preserve">di </w:t>
      </w:r>
      <w:r w:rsidR="00EA0513" w:rsidRPr="004062FD">
        <w:rPr>
          <w:rFonts w:ascii="Arial" w:hAnsi="Arial" w:cs="Arial"/>
          <w:bCs/>
          <w:lang w:val="ms-MY"/>
        </w:rPr>
        <w:t>dalam nilai berbanding 2020.</w:t>
      </w:r>
    </w:p>
    <w:p w14:paraId="645FA011" w14:textId="77777777" w:rsidR="00100463" w:rsidRPr="004062FD" w:rsidRDefault="00100463" w:rsidP="00100463">
      <w:pPr>
        <w:pStyle w:val="ListParagraph"/>
        <w:spacing w:line="360" w:lineRule="auto"/>
        <w:ind w:left="450"/>
        <w:jc w:val="both"/>
        <w:rPr>
          <w:rFonts w:ascii="Arial" w:hAnsi="Arial" w:cs="Arial"/>
          <w:bCs/>
          <w:lang w:val="ms-MY"/>
        </w:rPr>
      </w:pPr>
    </w:p>
    <w:p w14:paraId="7316B557" w14:textId="7927C8BC" w:rsidR="008D55F2" w:rsidRPr="00A67002" w:rsidRDefault="00100463" w:rsidP="008D55F2">
      <w:pPr>
        <w:pStyle w:val="ListParagraph"/>
        <w:numPr>
          <w:ilvl w:val="0"/>
          <w:numId w:val="14"/>
        </w:numPr>
        <w:spacing w:line="360" w:lineRule="auto"/>
        <w:ind w:left="450" w:hanging="450"/>
        <w:jc w:val="both"/>
        <w:rPr>
          <w:rFonts w:ascii="Arial" w:hAnsi="Arial" w:cs="Arial"/>
          <w:bCs/>
          <w:lang w:val="ms-MY"/>
        </w:rPr>
      </w:pPr>
      <w:proofErr w:type="spellStart"/>
      <w:r w:rsidRPr="00A67002">
        <w:rPr>
          <w:rFonts w:ascii="Arial" w:eastAsia="Arial" w:hAnsi="Arial" w:cs="Arial"/>
          <w:spacing w:val="-1"/>
        </w:rPr>
        <w:t>Segmen</w:t>
      </w:r>
      <w:proofErr w:type="spellEnd"/>
      <w:r w:rsidRPr="00A67002">
        <w:rPr>
          <w:rFonts w:ascii="Arial" w:eastAsia="Arial" w:hAnsi="Arial" w:cs="Arial"/>
          <w:spacing w:val="-1"/>
        </w:rPr>
        <w:t xml:space="preserve"> </w:t>
      </w:r>
      <w:proofErr w:type="spellStart"/>
      <w:r w:rsidRPr="00A67002">
        <w:rPr>
          <w:rFonts w:ascii="Arial" w:eastAsia="Arial" w:hAnsi="Arial" w:cs="Arial"/>
          <w:spacing w:val="-1"/>
        </w:rPr>
        <w:t>kedai</w:t>
      </w:r>
      <w:proofErr w:type="spellEnd"/>
      <w:r w:rsidRPr="00A67002">
        <w:rPr>
          <w:rFonts w:ascii="Arial" w:eastAsia="Arial" w:hAnsi="Arial" w:cs="Arial"/>
          <w:spacing w:val="-1"/>
        </w:rPr>
        <w:t xml:space="preserve"> </w:t>
      </w:r>
      <w:proofErr w:type="spellStart"/>
      <w:r w:rsidRPr="00A67002">
        <w:rPr>
          <w:rFonts w:ascii="Arial" w:eastAsia="Arial" w:hAnsi="Arial" w:cs="Arial"/>
          <w:spacing w:val="-1"/>
        </w:rPr>
        <w:t>merekodkan</w:t>
      </w:r>
      <w:proofErr w:type="spellEnd"/>
      <w:r w:rsidRPr="00A67002">
        <w:rPr>
          <w:rFonts w:ascii="Arial" w:eastAsia="Arial" w:hAnsi="Arial" w:cs="Arial"/>
          <w:spacing w:val="-1"/>
        </w:rPr>
        <w:t xml:space="preserve"> </w:t>
      </w:r>
      <w:r w:rsidRPr="00A67002">
        <w:rPr>
          <w:rFonts w:ascii="Arial" w:eastAsia="Arial" w:hAnsi="Arial" w:cs="Arial"/>
        </w:rPr>
        <w:t>1</w:t>
      </w:r>
      <w:r w:rsidRPr="00A67002">
        <w:rPr>
          <w:rFonts w:ascii="Arial" w:eastAsia="Arial" w:hAnsi="Arial" w:cs="Arial"/>
          <w:spacing w:val="1"/>
        </w:rPr>
        <w:t>1</w:t>
      </w:r>
      <w:r w:rsidRPr="00A67002">
        <w:rPr>
          <w:rFonts w:ascii="Arial" w:eastAsia="Arial" w:hAnsi="Arial" w:cs="Arial"/>
        </w:rPr>
        <w:t>,5</w:t>
      </w:r>
      <w:r w:rsidRPr="00A67002">
        <w:rPr>
          <w:rFonts w:ascii="Arial" w:eastAsia="Arial" w:hAnsi="Arial" w:cs="Arial"/>
          <w:spacing w:val="-1"/>
        </w:rPr>
        <w:t>7</w:t>
      </w:r>
      <w:r w:rsidRPr="00A67002">
        <w:rPr>
          <w:rFonts w:ascii="Arial" w:eastAsia="Arial" w:hAnsi="Arial" w:cs="Arial"/>
        </w:rPr>
        <w:t>4</w:t>
      </w:r>
      <w:r w:rsidRPr="00A67002">
        <w:rPr>
          <w:rFonts w:ascii="Arial" w:eastAsia="Arial" w:hAnsi="Arial" w:cs="Arial"/>
          <w:spacing w:val="-2"/>
        </w:rPr>
        <w:t xml:space="preserve"> </w:t>
      </w:r>
      <w:proofErr w:type="spellStart"/>
      <w:r w:rsidRPr="00A67002">
        <w:rPr>
          <w:rFonts w:ascii="Arial" w:eastAsia="Arial" w:hAnsi="Arial" w:cs="Arial"/>
        </w:rPr>
        <w:t>tra</w:t>
      </w:r>
      <w:r w:rsidRPr="00A67002">
        <w:rPr>
          <w:rFonts w:ascii="Arial" w:eastAsia="Arial" w:hAnsi="Arial" w:cs="Arial"/>
          <w:spacing w:val="-1"/>
        </w:rPr>
        <w:t>n</w:t>
      </w:r>
      <w:r w:rsidRPr="00A67002">
        <w:rPr>
          <w:rFonts w:ascii="Arial" w:eastAsia="Arial" w:hAnsi="Arial" w:cs="Arial"/>
          <w:spacing w:val="1"/>
        </w:rPr>
        <w:t>s</w:t>
      </w:r>
      <w:r w:rsidRPr="00A67002">
        <w:rPr>
          <w:rFonts w:ascii="Arial" w:eastAsia="Arial" w:hAnsi="Arial" w:cs="Arial"/>
        </w:rPr>
        <w:t>a</w:t>
      </w:r>
      <w:r w:rsidRPr="00A67002">
        <w:rPr>
          <w:rFonts w:ascii="Arial" w:eastAsia="Arial" w:hAnsi="Arial" w:cs="Arial"/>
          <w:spacing w:val="1"/>
        </w:rPr>
        <w:t>ksi</w:t>
      </w:r>
      <w:proofErr w:type="spellEnd"/>
      <w:r w:rsidRPr="00A67002">
        <w:rPr>
          <w:rFonts w:ascii="Arial" w:eastAsia="Arial" w:hAnsi="Arial" w:cs="Arial"/>
          <w:spacing w:val="1"/>
        </w:rPr>
        <w:t xml:space="preserve"> </w:t>
      </w:r>
      <w:proofErr w:type="spellStart"/>
      <w:r w:rsidRPr="00A67002">
        <w:rPr>
          <w:rFonts w:ascii="Arial" w:eastAsia="Arial" w:hAnsi="Arial" w:cs="Arial"/>
          <w:spacing w:val="1"/>
        </w:rPr>
        <w:t>bernilai</w:t>
      </w:r>
      <w:proofErr w:type="spellEnd"/>
      <w:r w:rsidRPr="00A67002">
        <w:rPr>
          <w:rFonts w:ascii="Arial" w:eastAsia="Arial" w:hAnsi="Arial" w:cs="Arial"/>
          <w:spacing w:val="1"/>
        </w:rPr>
        <w:t xml:space="preserve"> </w:t>
      </w:r>
      <w:r w:rsidRPr="00A67002">
        <w:rPr>
          <w:rFonts w:ascii="Arial" w:eastAsia="Arial" w:hAnsi="Arial" w:cs="Arial"/>
        </w:rPr>
        <w:t>R</w:t>
      </w:r>
      <w:r w:rsidRPr="00A67002">
        <w:rPr>
          <w:rFonts w:ascii="Arial" w:eastAsia="Arial" w:hAnsi="Arial" w:cs="Arial"/>
          <w:spacing w:val="2"/>
        </w:rPr>
        <w:t>M</w:t>
      </w:r>
      <w:r w:rsidRPr="00A67002">
        <w:rPr>
          <w:rFonts w:ascii="Arial" w:eastAsia="Arial" w:hAnsi="Arial" w:cs="Arial"/>
        </w:rPr>
        <w:t>9.6</w:t>
      </w:r>
      <w:r w:rsidRPr="00A67002">
        <w:rPr>
          <w:rFonts w:ascii="Arial" w:eastAsia="Arial" w:hAnsi="Arial" w:cs="Arial"/>
          <w:spacing w:val="-2"/>
        </w:rPr>
        <w:t xml:space="preserve"> </w:t>
      </w:r>
      <w:proofErr w:type="spellStart"/>
      <w:proofErr w:type="gramStart"/>
      <w:r w:rsidRPr="00A67002">
        <w:rPr>
          <w:rFonts w:ascii="Arial" w:eastAsia="Arial" w:hAnsi="Arial" w:cs="Arial"/>
        </w:rPr>
        <w:t>b</w:t>
      </w:r>
      <w:r w:rsidRPr="00A67002">
        <w:rPr>
          <w:rFonts w:ascii="Arial" w:eastAsia="Arial" w:hAnsi="Arial" w:cs="Arial"/>
          <w:spacing w:val="1"/>
        </w:rPr>
        <w:t>il</w:t>
      </w:r>
      <w:r w:rsidRPr="00A67002">
        <w:rPr>
          <w:rFonts w:ascii="Arial" w:eastAsia="Arial" w:hAnsi="Arial" w:cs="Arial"/>
          <w:spacing w:val="-1"/>
        </w:rPr>
        <w:t>i</w:t>
      </w:r>
      <w:r w:rsidRPr="00A67002">
        <w:rPr>
          <w:rFonts w:ascii="Arial" w:eastAsia="Arial" w:hAnsi="Arial" w:cs="Arial"/>
        </w:rPr>
        <w:t>o</w:t>
      </w:r>
      <w:r w:rsidRPr="00A67002">
        <w:rPr>
          <w:rFonts w:ascii="Arial" w:eastAsia="Arial" w:hAnsi="Arial" w:cs="Arial"/>
          <w:spacing w:val="-1"/>
        </w:rPr>
        <w:t>n</w:t>
      </w:r>
      <w:r w:rsidRPr="00A67002">
        <w:rPr>
          <w:rFonts w:ascii="Arial" w:eastAsia="Arial" w:hAnsi="Arial" w:cs="Arial"/>
        </w:rPr>
        <w:t>,menyumbang</w:t>
      </w:r>
      <w:proofErr w:type="spellEnd"/>
      <w:proofErr w:type="gramEnd"/>
      <w:r w:rsidRPr="00A67002">
        <w:rPr>
          <w:rFonts w:ascii="Arial" w:eastAsia="Arial" w:hAnsi="Arial" w:cs="Arial"/>
        </w:rPr>
        <w:t xml:space="preserve"> </w:t>
      </w:r>
      <w:r w:rsidRPr="00A67002">
        <w:rPr>
          <w:rFonts w:ascii="Arial" w:eastAsia="Arial" w:hAnsi="Arial" w:cs="Arial"/>
          <w:spacing w:val="2"/>
        </w:rPr>
        <w:t>5</w:t>
      </w:r>
      <w:r w:rsidRPr="00A67002">
        <w:rPr>
          <w:rFonts w:ascii="Arial" w:eastAsia="Arial" w:hAnsi="Arial" w:cs="Arial"/>
        </w:rPr>
        <w:t>1.</w:t>
      </w:r>
      <w:r w:rsidRPr="00A67002">
        <w:rPr>
          <w:rFonts w:ascii="Arial" w:eastAsia="Arial" w:hAnsi="Arial" w:cs="Arial"/>
          <w:spacing w:val="1"/>
        </w:rPr>
        <w:t>6</w:t>
      </w:r>
      <w:r w:rsidRPr="00A67002">
        <w:rPr>
          <w:rFonts w:ascii="Arial" w:eastAsia="Arial" w:hAnsi="Arial" w:cs="Arial"/>
        </w:rPr>
        <w:t>%</w:t>
      </w:r>
      <w:r w:rsidRPr="00A67002">
        <w:rPr>
          <w:rFonts w:ascii="Arial" w:eastAsia="Arial" w:hAnsi="Arial" w:cs="Arial"/>
          <w:spacing w:val="-3"/>
        </w:rPr>
        <w:t xml:space="preserve"> </w:t>
      </w:r>
      <w:proofErr w:type="spellStart"/>
      <w:r w:rsidRPr="00A67002">
        <w:rPr>
          <w:rFonts w:ascii="Arial" w:eastAsia="Arial" w:hAnsi="Arial" w:cs="Arial"/>
          <w:spacing w:val="-3"/>
        </w:rPr>
        <w:t>daripada</w:t>
      </w:r>
      <w:proofErr w:type="spellEnd"/>
      <w:r w:rsidR="008D55F2" w:rsidRPr="00A67002">
        <w:rPr>
          <w:rFonts w:ascii="Arial" w:eastAsia="Arial" w:hAnsi="Arial" w:cs="Arial"/>
          <w:spacing w:val="-3"/>
        </w:rPr>
        <w:t xml:space="preserve"> </w:t>
      </w:r>
      <w:proofErr w:type="spellStart"/>
      <w:r w:rsidR="008D55F2" w:rsidRPr="00A67002">
        <w:rPr>
          <w:rFonts w:ascii="Arial" w:eastAsia="Arial" w:hAnsi="Arial" w:cs="Arial"/>
          <w:spacing w:val="-3"/>
        </w:rPr>
        <w:t>jumlah</w:t>
      </w:r>
      <w:proofErr w:type="spellEnd"/>
      <w:r w:rsidRPr="00A67002">
        <w:rPr>
          <w:rFonts w:ascii="Arial" w:eastAsia="Arial" w:hAnsi="Arial" w:cs="Arial"/>
          <w:spacing w:val="-3"/>
        </w:rPr>
        <w:t xml:space="preserve"> </w:t>
      </w:r>
      <w:proofErr w:type="spellStart"/>
      <w:r w:rsidRPr="00A67002">
        <w:rPr>
          <w:rFonts w:ascii="Arial" w:eastAsia="Arial" w:hAnsi="Arial" w:cs="Arial"/>
          <w:spacing w:val="-3"/>
        </w:rPr>
        <w:t>transaksi</w:t>
      </w:r>
      <w:proofErr w:type="spellEnd"/>
      <w:r w:rsidRPr="00A67002">
        <w:rPr>
          <w:rFonts w:ascii="Arial" w:eastAsia="Arial" w:hAnsi="Arial" w:cs="Arial"/>
          <w:spacing w:val="-3"/>
        </w:rPr>
        <w:t xml:space="preserve"> </w:t>
      </w:r>
      <w:proofErr w:type="spellStart"/>
      <w:r w:rsidRPr="00A67002">
        <w:rPr>
          <w:rFonts w:ascii="Arial" w:eastAsia="Arial" w:hAnsi="Arial" w:cs="Arial"/>
          <w:spacing w:val="-3"/>
        </w:rPr>
        <w:t>harta</w:t>
      </w:r>
      <w:proofErr w:type="spellEnd"/>
      <w:r w:rsidRPr="00A67002">
        <w:rPr>
          <w:rFonts w:ascii="Arial" w:eastAsia="Arial" w:hAnsi="Arial" w:cs="Arial"/>
          <w:spacing w:val="-3"/>
        </w:rPr>
        <w:t xml:space="preserve"> </w:t>
      </w:r>
      <w:proofErr w:type="spellStart"/>
      <w:r w:rsidRPr="00A67002">
        <w:rPr>
          <w:rFonts w:ascii="Arial" w:eastAsia="Arial" w:hAnsi="Arial" w:cs="Arial"/>
          <w:spacing w:val="-3"/>
        </w:rPr>
        <w:t>tanah</w:t>
      </w:r>
      <w:proofErr w:type="spellEnd"/>
      <w:r w:rsidRPr="00A67002">
        <w:rPr>
          <w:rFonts w:ascii="Arial" w:eastAsia="Arial" w:hAnsi="Arial" w:cs="Arial"/>
          <w:spacing w:val="-3"/>
        </w:rPr>
        <w:t xml:space="preserve"> </w:t>
      </w:r>
      <w:proofErr w:type="spellStart"/>
      <w:r w:rsidR="00881942">
        <w:rPr>
          <w:rFonts w:ascii="Arial" w:eastAsia="Arial" w:hAnsi="Arial" w:cs="Arial"/>
          <w:spacing w:val="-3"/>
        </w:rPr>
        <w:t>perdagangan</w:t>
      </w:r>
      <w:proofErr w:type="spellEnd"/>
      <w:r w:rsidRPr="00A67002">
        <w:rPr>
          <w:rFonts w:ascii="Arial" w:eastAsia="Arial" w:hAnsi="Arial" w:cs="Arial"/>
          <w:spacing w:val="-3"/>
        </w:rPr>
        <w:t xml:space="preserve"> </w:t>
      </w:r>
      <w:r w:rsidR="008D55F2" w:rsidRPr="00A67002">
        <w:rPr>
          <w:rFonts w:ascii="Arial" w:eastAsia="Arial" w:hAnsi="Arial" w:cs="Arial"/>
        </w:rPr>
        <w:t xml:space="preserve">dan </w:t>
      </w:r>
      <w:r w:rsidRPr="00A67002">
        <w:rPr>
          <w:rFonts w:ascii="Arial" w:eastAsia="Arial" w:hAnsi="Arial" w:cs="Arial"/>
        </w:rPr>
        <w:t>3</w:t>
      </w:r>
      <w:r w:rsidRPr="00A67002">
        <w:rPr>
          <w:rFonts w:ascii="Arial" w:eastAsia="Arial" w:hAnsi="Arial" w:cs="Arial"/>
          <w:spacing w:val="1"/>
        </w:rPr>
        <w:t>4</w:t>
      </w:r>
      <w:r w:rsidRPr="00A67002">
        <w:rPr>
          <w:rFonts w:ascii="Arial" w:eastAsia="Arial" w:hAnsi="Arial" w:cs="Arial"/>
        </w:rPr>
        <w:t>.3%</w:t>
      </w:r>
      <w:r w:rsidRPr="00A67002">
        <w:rPr>
          <w:rFonts w:ascii="Arial" w:eastAsia="Arial" w:hAnsi="Arial" w:cs="Arial"/>
          <w:spacing w:val="6"/>
        </w:rPr>
        <w:t xml:space="preserve"> </w:t>
      </w:r>
      <w:proofErr w:type="spellStart"/>
      <w:r w:rsidR="008D55F2" w:rsidRPr="00A67002">
        <w:rPr>
          <w:rFonts w:ascii="Arial" w:eastAsia="Arial" w:hAnsi="Arial" w:cs="Arial"/>
          <w:spacing w:val="6"/>
        </w:rPr>
        <w:t>daripada</w:t>
      </w:r>
      <w:proofErr w:type="spellEnd"/>
      <w:r w:rsidR="008D55F2" w:rsidRPr="00A67002">
        <w:rPr>
          <w:rFonts w:ascii="Arial" w:eastAsia="Arial" w:hAnsi="Arial" w:cs="Arial"/>
          <w:spacing w:val="6"/>
        </w:rPr>
        <w:t xml:space="preserve"> </w:t>
      </w:r>
      <w:proofErr w:type="spellStart"/>
      <w:r w:rsidR="008D55F2" w:rsidRPr="00A67002">
        <w:rPr>
          <w:rFonts w:ascii="Arial" w:eastAsia="Arial" w:hAnsi="Arial" w:cs="Arial"/>
          <w:spacing w:val="6"/>
        </w:rPr>
        <w:t>jumlah</w:t>
      </w:r>
      <w:proofErr w:type="spellEnd"/>
      <w:r w:rsidR="008D55F2" w:rsidRPr="00A67002">
        <w:rPr>
          <w:rFonts w:ascii="Arial" w:eastAsia="Arial" w:hAnsi="Arial" w:cs="Arial"/>
          <w:spacing w:val="6"/>
        </w:rPr>
        <w:t xml:space="preserve"> </w:t>
      </w:r>
      <w:proofErr w:type="spellStart"/>
      <w:r w:rsidR="008D55F2" w:rsidRPr="00A67002">
        <w:rPr>
          <w:rFonts w:ascii="Arial" w:eastAsia="Arial" w:hAnsi="Arial" w:cs="Arial"/>
          <w:spacing w:val="6"/>
        </w:rPr>
        <w:t>nilai</w:t>
      </w:r>
      <w:proofErr w:type="spellEnd"/>
      <w:r w:rsidRPr="00A67002">
        <w:rPr>
          <w:rFonts w:ascii="Arial" w:eastAsia="Arial" w:hAnsi="Arial" w:cs="Arial"/>
        </w:rPr>
        <w:t>.</w:t>
      </w:r>
      <w:r w:rsidRPr="00A67002">
        <w:rPr>
          <w:rFonts w:ascii="Arial" w:eastAsia="Arial" w:hAnsi="Arial" w:cs="Arial"/>
          <w:spacing w:val="6"/>
        </w:rPr>
        <w:t xml:space="preserve"> </w:t>
      </w:r>
      <w:proofErr w:type="spellStart"/>
      <w:r w:rsidR="008D55F2" w:rsidRPr="00A67002">
        <w:rPr>
          <w:rFonts w:ascii="Arial" w:eastAsia="Arial" w:hAnsi="Arial" w:cs="Arial"/>
          <w:spacing w:val="6"/>
        </w:rPr>
        <w:t>Prestasi</w:t>
      </w:r>
      <w:proofErr w:type="spellEnd"/>
      <w:r w:rsidR="008D55F2" w:rsidRPr="00A67002">
        <w:rPr>
          <w:rFonts w:ascii="Arial" w:eastAsia="Arial" w:hAnsi="Arial" w:cs="Arial"/>
          <w:spacing w:val="6"/>
        </w:rPr>
        <w:t xml:space="preserve"> </w:t>
      </w:r>
      <w:proofErr w:type="spellStart"/>
      <w:r w:rsidR="008D55F2" w:rsidRPr="00A67002">
        <w:rPr>
          <w:rFonts w:ascii="Arial" w:eastAsia="Arial" w:hAnsi="Arial" w:cs="Arial"/>
          <w:spacing w:val="6"/>
        </w:rPr>
        <w:t>pasaran</w:t>
      </w:r>
      <w:proofErr w:type="spellEnd"/>
      <w:r w:rsidR="008D55F2" w:rsidRPr="00A67002">
        <w:rPr>
          <w:rFonts w:ascii="Arial" w:eastAsia="Arial" w:hAnsi="Arial" w:cs="Arial"/>
          <w:spacing w:val="6"/>
        </w:rPr>
        <w:t xml:space="preserve"> </w:t>
      </w:r>
      <w:proofErr w:type="spellStart"/>
      <w:r w:rsidR="008D55F2" w:rsidRPr="00A67002">
        <w:rPr>
          <w:rFonts w:ascii="Arial" w:eastAsia="Arial" w:hAnsi="Arial" w:cs="Arial"/>
          <w:spacing w:val="6"/>
        </w:rPr>
        <w:t>merekod</w:t>
      </w:r>
      <w:proofErr w:type="spellEnd"/>
      <w:r w:rsidR="008D55F2" w:rsidRPr="00A67002">
        <w:rPr>
          <w:rFonts w:ascii="Arial" w:eastAsia="Arial" w:hAnsi="Arial" w:cs="Arial"/>
          <w:spacing w:val="6"/>
        </w:rPr>
        <w:t xml:space="preserve"> </w:t>
      </w:r>
      <w:proofErr w:type="spellStart"/>
      <w:r w:rsidR="008D55F2" w:rsidRPr="00A67002">
        <w:rPr>
          <w:rFonts w:ascii="Arial" w:eastAsia="Arial" w:hAnsi="Arial" w:cs="Arial"/>
          <w:spacing w:val="6"/>
        </w:rPr>
        <w:t>peningkatan</w:t>
      </w:r>
      <w:proofErr w:type="spellEnd"/>
      <w:r w:rsidR="008D55F2" w:rsidRPr="00A67002">
        <w:rPr>
          <w:rFonts w:ascii="Arial" w:eastAsia="Arial" w:hAnsi="Arial" w:cs="Arial"/>
          <w:spacing w:val="6"/>
        </w:rPr>
        <w:t xml:space="preserve"> pada </w:t>
      </w:r>
      <w:r w:rsidRPr="00A67002">
        <w:rPr>
          <w:rFonts w:ascii="Arial" w:eastAsia="Arial" w:hAnsi="Arial" w:cs="Arial"/>
        </w:rPr>
        <w:t>1</w:t>
      </w:r>
      <w:r w:rsidRPr="00A67002">
        <w:rPr>
          <w:rFonts w:ascii="Arial" w:eastAsia="Arial" w:hAnsi="Arial" w:cs="Arial"/>
          <w:spacing w:val="1"/>
        </w:rPr>
        <w:t>0</w:t>
      </w:r>
      <w:r w:rsidRPr="00A67002">
        <w:rPr>
          <w:rFonts w:ascii="Arial" w:eastAsia="Arial" w:hAnsi="Arial" w:cs="Arial"/>
        </w:rPr>
        <w:t>.5%</w:t>
      </w:r>
      <w:r w:rsidRPr="00A67002">
        <w:rPr>
          <w:rFonts w:ascii="Arial" w:eastAsia="Arial" w:hAnsi="Arial" w:cs="Arial"/>
          <w:spacing w:val="-4"/>
        </w:rPr>
        <w:t xml:space="preserve"> </w:t>
      </w:r>
      <w:r w:rsidR="008D55F2" w:rsidRPr="00A67002">
        <w:rPr>
          <w:rFonts w:ascii="Arial" w:eastAsia="Arial" w:hAnsi="Arial" w:cs="Arial"/>
          <w:spacing w:val="-1"/>
        </w:rPr>
        <w:t xml:space="preserve">di </w:t>
      </w:r>
      <w:proofErr w:type="spellStart"/>
      <w:r w:rsidR="008D55F2" w:rsidRPr="00A67002">
        <w:rPr>
          <w:rFonts w:ascii="Arial" w:eastAsia="Arial" w:hAnsi="Arial" w:cs="Arial"/>
          <w:spacing w:val="-1"/>
        </w:rPr>
        <w:t>dalam</w:t>
      </w:r>
      <w:proofErr w:type="spellEnd"/>
      <w:r w:rsidR="008D55F2" w:rsidRPr="00A67002">
        <w:rPr>
          <w:rFonts w:ascii="Arial" w:eastAsia="Arial" w:hAnsi="Arial" w:cs="Arial"/>
          <w:spacing w:val="-1"/>
        </w:rPr>
        <w:t xml:space="preserve"> </w:t>
      </w:r>
      <w:proofErr w:type="spellStart"/>
      <w:r w:rsidR="008D55F2" w:rsidRPr="00A67002">
        <w:rPr>
          <w:rFonts w:ascii="Arial" w:eastAsia="Arial" w:hAnsi="Arial" w:cs="Arial"/>
          <w:spacing w:val="-1"/>
        </w:rPr>
        <w:t>bilangan</w:t>
      </w:r>
      <w:proofErr w:type="spellEnd"/>
      <w:r w:rsidR="008D55F2" w:rsidRPr="00A67002">
        <w:rPr>
          <w:rFonts w:ascii="Arial" w:eastAsia="Arial" w:hAnsi="Arial" w:cs="Arial"/>
          <w:spacing w:val="-1"/>
        </w:rPr>
        <w:t xml:space="preserve"> dan </w:t>
      </w:r>
      <w:r w:rsidRPr="00A67002">
        <w:rPr>
          <w:rFonts w:ascii="Arial" w:eastAsia="Arial" w:hAnsi="Arial" w:cs="Arial"/>
        </w:rPr>
        <w:t>1</w:t>
      </w:r>
      <w:r w:rsidRPr="00A67002">
        <w:rPr>
          <w:rFonts w:ascii="Arial" w:eastAsia="Arial" w:hAnsi="Arial" w:cs="Arial"/>
          <w:spacing w:val="-1"/>
        </w:rPr>
        <w:t>2</w:t>
      </w:r>
      <w:r w:rsidRPr="00A67002">
        <w:rPr>
          <w:rFonts w:ascii="Arial" w:eastAsia="Arial" w:hAnsi="Arial" w:cs="Arial"/>
          <w:spacing w:val="2"/>
        </w:rPr>
        <w:t>.</w:t>
      </w:r>
      <w:r w:rsidRPr="00A67002">
        <w:rPr>
          <w:rFonts w:ascii="Arial" w:eastAsia="Arial" w:hAnsi="Arial" w:cs="Arial"/>
        </w:rPr>
        <w:t>7%</w:t>
      </w:r>
      <w:r w:rsidRPr="00A67002">
        <w:rPr>
          <w:rFonts w:ascii="Arial" w:eastAsia="Arial" w:hAnsi="Arial" w:cs="Arial"/>
          <w:spacing w:val="-6"/>
        </w:rPr>
        <w:t xml:space="preserve"> </w:t>
      </w:r>
      <w:r w:rsidR="008D55F2" w:rsidRPr="00A67002">
        <w:rPr>
          <w:rFonts w:ascii="Arial" w:eastAsia="Arial" w:hAnsi="Arial" w:cs="Arial"/>
          <w:spacing w:val="-1"/>
        </w:rPr>
        <w:t xml:space="preserve">di </w:t>
      </w:r>
      <w:proofErr w:type="spellStart"/>
      <w:r w:rsidR="008D55F2" w:rsidRPr="00A67002">
        <w:rPr>
          <w:rFonts w:ascii="Arial" w:eastAsia="Arial" w:hAnsi="Arial" w:cs="Arial"/>
          <w:spacing w:val="-1"/>
        </w:rPr>
        <w:t>dalam</w:t>
      </w:r>
      <w:proofErr w:type="spellEnd"/>
      <w:r w:rsidR="008D55F2" w:rsidRPr="00A67002">
        <w:rPr>
          <w:rFonts w:ascii="Arial" w:eastAsia="Arial" w:hAnsi="Arial" w:cs="Arial"/>
          <w:spacing w:val="-1"/>
        </w:rPr>
        <w:t xml:space="preserve"> </w:t>
      </w:r>
      <w:proofErr w:type="spellStart"/>
      <w:r w:rsidR="008D55F2" w:rsidRPr="00A67002">
        <w:rPr>
          <w:rFonts w:ascii="Arial" w:eastAsia="Arial" w:hAnsi="Arial" w:cs="Arial"/>
          <w:spacing w:val="-1"/>
        </w:rPr>
        <w:t>nilai</w:t>
      </w:r>
      <w:proofErr w:type="spellEnd"/>
      <w:r w:rsidR="008D55F2" w:rsidRPr="00A67002">
        <w:rPr>
          <w:rFonts w:ascii="Arial" w:eastAsia="Arial" w:hAnsi="Arial" w:cs="Arial"/>
          <w:spacing w:val="-1"/>
        </w:rPr>
        <w:t xml:space="preserve"> </w:t>
      </w:r>
      <w:proofErr w:type="spellStart"/>
      <w:r w:rsidR="008D55F2" w:rsidRPr="00A67002">
        <w:rPr>
          <w:rFonts w:ascii="Arial" w:eastAsia="Arial" w:hAnsi="Arial" w:cs="Arial"/>
          <w:spacing w:val="-1"/>
        </w:rPr>
        <w:t>berbanding</w:t>
      </w:r>
      <w:proofErr w:type="spellEnd"/>
      <w:r w:rsidR="008D55F2" w:rsidRPr="00A67002">
        <w:rPr>
          <w:rFonts w:ascii="Arial" w:eastAsia="Arial" w:hAnsi="Arial" w:cs="Arial"/>
          <w:spacing w:val="-1"/>
        </w:rPr>
        <w:t xml:space="preserve"> </w:t>
      </w:r>
      <w:r w:rsidRPr="00A67002">
        <w:rPr>
          <w:rFonts w:ascii="Arial" w:eastAsia="Arial" w:hAnsi="Arial" w:cs="Arial"/>
          <w:spacing w:val="1"/>
        </w:rPr>
        <w:t>2</w:t>
      </w:r>
      <w:r w:rsidRPr="00A67002">
        <w:rPr>
          <w:rFonts w:ascii="Arial" w:eastAsia="Arial" w:hAnsi="Arial" w:cs="Arial"/>
        </w:rPr>
        <w:t>0</w:t>
      </w:r>
      <w:r w:rsidRPr="00A67002">
        <w:rPr>
          <w:rFonts w:ascii="Arial" w:eastAsia="Arial" w:hAnsi="Arial" w:cs="Arial"/>
          <w:spacing w:val="-1"/>
        </w:rPr>
        <w:t>2</w:t>
      </w:r>
      <w:r w:rsidRPr="00A67002">
        <w:rPr>
          <w:rFonts w:ascii="Arial" w:eastAsia="Arial" w:hAnsi="Arial" w:cs="Arial"/>
        </w:rPr>
        <w:t>0.</w:t>
      </w:r>
    </w:p>
    <w:p w14:paraId="7CD97407" w14:textId="77777777" w:rsidR="008D55F2" w:rsidRPr="004062FD" w:rsidRDefault="008D55F2" w:rsidP="008D55F2">
      <w:pPr>
        <w:pStyle w:val="ListParagraph"/>
        <w:spacing w:line="360" w:lineRule="auto"/>
        <w:ind w:left="450"/>
        <w:jc w:val="both"/>
        <w:rPr>
          <w:rFonts w:ascii="Arial" w:hAnsi="Arial" w:cs="Arial"/>
          <w:bCs/>
          <w:lang w:val="ms-MY"/>
        </w:rPr>
      </w:pPr>
    </w:p>
    <w:p w14:paraId="49D4024C" w14:textId="087778E5" w:rsidR="008D55F2" w:rsidRPr="004062FD" w:rsidRDefault="000D39C8" w:rsidP="008D55F2">
      <w:pPr>
        <w:pStyle w:val="ListParagraph"/>
        <w:numPr>
          <w:ilvl w:val="0"/>
          <w:numId w:val="14"/>
        </w:numPr>
        <w:spacing w:line="360" w:lineRule="auto"/>
        <w:ind w:left="450" w:hanging="450"/>
        <w:jc w:val="both"/>
        <w:rPr>
          <w:rFonts w:ascii="Arial" w:hAnsi="Arial" w:cs="Arial"/>
          <w:bCs/>
          <w:lang w:val="ms-MY"/>
        </w:rPr>
      </w:pPr>
      <w:r w:rsidRPr="004062FD">
        <w:rPr>
          <w:rFonts w:ascii="Arial" w:hAnsi="Arial" w:cs="Arial"/>
          <w:lang w:val="ms-MY"/>
        </w:rPr>
        <w:t xml:space="preserve">Selangor menyumbang </w:t>
      </w:r>
      <w:r w:rsidR="00466E86" w:rsidRPr="004062FD">
        <w:rPr>
          <w:rFonts w:ascii="Arial" w:hAnsi="Arial" w:cs="Arial"/>
          <w:lang w:val="ms-MY"/>
        </w:rPr>
        <w:t xml:space="preserve">bilangan </w:t>
      </w:r>
      <w:r w:rsidRPr="004062FD">
        <w:rPr>
          <w:rFonts w:ascii="Arial" w:hAnsi="Arial" w:cs="Arial"/>
          <w:lang w:val="ms-MY"/>
        </w:rPr>
        <w:t xml:space="preserve">tertinggi kepada </w:t>
      </w:r>
      <w:r w:rsidR="00466E86" w:rsidRPr="004062FD">
        <w:rPr>
          <w:rFonts w:ascii="Arial" w:hAnsi="Arial" w:cs="Arial"/>
          <w:lang w:val="ms-MY"/>
        </w:rPr>
        <w:t>syer</w:t>
      </w:r>
      <w:r w:rsidRPr="004062FD">
        <w:rPr>
          <w:rFonts w:ascii="Arial" w:hAnsi="Arial" w:cs="Arial"/>
          <w:lang w:val="ms-MY"/>
        </w:rPr>
        <w:t xml:space="preserve"> pasaran negara, dengan 26.8% (6,021 </w:t>
      </w:r>
      <w:r w:rsidR="008D55F2" w:rsidRPr="004062FD">
        <w:rPr>
          <w:rFonts w:ascii="Arial" w:hAnsi="Arial" w:cs="Arial"/>
          <w:lang w:val="ms-MY"/>
        </w:rPr>
        <w:t>transaksi</w:t>
      </w:r>
      <w:r w:rsidRPr="004062FD">
        <w:rPr>
          <w:rFonts w:ascii="Arial" w:hAnsi="Arial" w:cs="Arial"/>
          <w:lang w:val="ms-MY"/>
        </w:rPr>
        <w:t xml:space="preserve">), diikuti oleh WP Kuala Lumpur dengan 14.5% (3,251 </w:t>
      </w:r>
      <w:r w:rsidR="008D55F2" w:rsidRPr="004062FD">
        <w:rPr>
          <w:rFonts w:ascii="Arial" w:hAnsi="Arial" w:cs="Arial"/>
          <w:lang w:val="ms-MY"/>
        </w:rPr>
        <w:t>transaksi</w:t>
      </w:r>
      <w:r w:rsidRPr="004062FD">
        <w:rPr>
          <w:rFonts w:ascii="Arial" w:hAnsi="Arial" w:cs="Arial"/>
          <w:lang w:val="ms-MY"/>
        </w:rPr>
        <w:t xml:space="preserve">). Dari segi nilai, </w:t>
      </w:r>
      <w:r w:rsidR="00466E86" w:rsidRPr="004062FD">
        <w:rPr>
          <w:rFonts w:ascii="Arial" w:hAnsi="Arial" w:cs="Arial"/>
          <w:lang w:val="ms-MY"/>
        </w:rPr>
        <w:t>WP</w:t>
      </w:r>
      <w:r w:rsidRPr="004062FD">
        <w:rPr>
          <w:rFonts w:ascii="Arial" w:hAnsi="Arial" w:cs="Arial"/>
          <w:lang w:val="ms-MY"/>
        </w:rPr>
        <w:t xml:space="preserve"> Kuala Lumpur mendahului pasaran dengan 32.0% (RM8.95 bilion), diikuti Selangor </w:t>
      </w:r>
      <w:r w:rsidR="008D55F2" w:rsidRPr="004062FD">
        <w:rPr>
          <w:rFonts w:ascii="Arial" w:hAnsi="Arial" w:cs="Arial"/>
          <w:lang w:val="ms-MY"/>
        </w:rPr>
        <w:t>pada</w:t>
      </w:r>
      <w:r w:rsidRPr="004062FD">
        <w:rPr>
          <w:rFonts w:ascii="Arial" w:hAnsi="Arial" w:cs="Arial"/>
          <w:lang w:val="ms-MY"/>
        </w:rPr>
        <w:t xml:space="preserve"> 25.3% (RM7.06 bilion).</w:t>
      </w:r>
    </w:p>
    <w:p w14:paraId="5396E95B" w14:textId="77777777" w:rsidR="00100DF5" w:rsidRPr="004062FD" w:rsidRDefault="00100DF5" w:rsidP="00100DF5">
      <w:pPr>
        <w:pStyle w:val="ListParagraph"/>
        <w:spacing w:after="0" w:line="360" w:lineRule="auto"/>
        <w:ind w:left="315"/>
        <w:jc w:val="both"/>
        <w:rPr>
          <w:rFonts w:ascii="Arial" w:hAnsi="Arial" w:cs="Arial"/>
        </w:rPr>
      </w:pPr>
    </w:p>
    <w:p w14:paraId="384A6676" w14:textId="04D9460E" w:rsidR="008D55F2" w:rsidRPr="004062FD" w:rsidRDefault="000D39C8" w:rsidP="008D55F2">
      <w:pPr>
        <w:pStyle w:val="ListParagraph"/>
        <w:numPr>
          <w:ilvl w:val="0"/>
          <w:numId w:val="14"/>
        </w:numPr>
        <w:spacing w:line="360" w:lineRule="auto"/>
        <w:ind w:left="450" w:hanging="450"/>
        <w:jc w:val="both"/>
        <w:rPr>
          <w:rFonts w:ascii="Arial" w:hAnsi="Arial" w:cs="Arial"/>
          <w:bCs/>
          <w:lang w:val="ms-MY"/>
        </w:rPr>
      </w:pPr>
      <w:proofErr w:type="spellStart"/>
      <w:r w:rsidRPr="004062FD">
        <w:rPr>
          <w:rFonts w:ascii="Arial" w:hAnsi="Arial" w:cs="Arial"/>
          <w:bCs/>
        </w:rPr>
        <w:t>Segmen</w:t>
      </w:r>
      <w:proofErr w:type="spellEnd"/>
      <w:r w:rsidRPr="004062FD">
        <w:rPr>
          <w:rFonts w:ascii="Arial" w:hAnsi="Arial" w:cs="Arial"/>
          <w:bCs/>
        </w:rPr>
        <w:t xml:space="preserve"> </w:t>
      </w:r>
      <w:proofErr w:type="spellStart"/>
      <w:r w:rsidRPr="004062FD">
        <w:rPr>
          <w:rFonts w:ascii="Arial" w:hAnsi="Arial" w:cs="Arial"/>
          <w:bCs/>
        </w:rPr>
        <w:t>pangsapuri</w:t>
      </w:r>
      <w:proofErr w:type="spellEnd"/>
      <w:r w:rsidRPr="004062FD">
        <w:rPr>
          <w:rFonts w:ascii="Arial" w:hAnsi="Arial" w:cs="Arial"/>
          <w:bCs/>
        </w:rPr>
        <w:t xml:space="preserve"> </w:t>
      </w:r>
      <w:proofErr w:type="spellStart"/>
      <w:r w:rsidRPr="004062FD">
        <w:rPr>
          <w:rFonts w:ascii="Arial" w:hAnsi="Arial" w:cs="Arial"/>
          <w:bCs/>
        </w:rPr>
        <w:t>perkhidmatan</w:t>
      </w:r>
      <w:proofErr w:type="spellEnd"/>
      <w:r w:rsidRPr="004062FD">
        <w:rPr>
          <w:rFonts w:ascii="Arial" w:hAnsi="Arial" w:cs="Arial"/>
          <w:bCs/>
        </w:rPr>
        <w:t xml:space="preserve"> </w:t>
      </w:r>
      <w:proofErr w:type="spellStart"/>
      <w:r w:rsidRPr="004062FD">
        <w:rPr>
          <w:rFonts w:ascii="Arial" w:hAnsi="Arial" w:cs="Arial"/>
          <w:bCs/>
        </w:rPr>
        <w:t>merekodkan</w:t>
      </w:r>
      <w:proofErr w:type="spellEnd"/>
      <w:r w:rsidRPr="004062FD">
        <w:rPr>
          <w:rFonts w:ascii="Arial" w:hAnsi="Arial" w:cs="Arial"/>
          <w:bCs/>
        </w:rPr>
        <w:t xml:space="preserve"> 4,35</w:t>
      </w:r>
      <w:r w:rsidR="00100DF5" w:rsidRPr="004062FD">
        <w:rPr>
          <w:rFonts w:ascii="Arial" w:hAnsi="Arial" w:cs="Arial"/>
          <w:bCs/>
        </w:rPr>
        <w:t xml:space="preserve">9 </w:t>
      </w:r>
      <w:proofErr w:type="spellStart"/>
      <w:r w:rsidR="00100DF5" w:rsidRPr="004062FD">
        <w:rPr>
          <w:rFonts w:ascii="Arial" w:hAnsi="Arial" w:cs="Arial"/>
          <w:bCs/>
        </w:rPr>
        <w:t>transaksi</w:t>
      </w:r>
      <w:proofErr w:type="spellEnd"/>
      <w:r w:rsidR="00100DF5" w:rsidRPr="004062FD">
        <w:rPr>
          <w:rFonts w:ascii="Arial" w:hAnsi="Arial" w:cs="Arial"/>
          <w:bCs/>
        </w:rPr>
        <w:t xml:space="preserve"> </w:t>
      </w:r>
      <w:proofErr w:type="spellStart"/>
      <w:r w:rsidRPr="004062FD">
        <w:rPr>
          <w:rFonts w:ascii="Arial" w:hAnsi="Arial" w:cs="Arial"/>
          <w:bCs/>
        </w:rPr>
        <w:t>bernilai</w:t>
      </w:r>
      <w:proofErr w:type="spellEnd"/>
      <w:r w:rsidRPr="004062FD">
        <w:rPr>
          <w:rFonts w:ascii="Arial" w:hAnsi="Arial" w:cs="Arial"/>
          <w:bCs/>
        </w:rPr>
        <w:t xml:space="preserve"> RM2.82 </w:t>
      </w:r>
      <w:proofErr w:type="spellStart"/>
      <w:r w:rsidRPr="004062FD">
        <w:rPr>
          <w:rFonts w:ascii="Arial" w:hAnsi="Arial" w:cs="Arial"/>
          <w:bCs/>
        </w:rPr>
        <w:t>bilion</w:t>
      </w:r>
      <w:proofErr w:type="spellEnd"/>
      <w:r w:rsidRPr="004062FD">
        <w:rPr>
          <w:rFonts w:ascii="Arial" w:hAnsi="Arial" w:cs="Arial"/>
          <w:bCs/>
        </w:rPr>
        <w:t xml:space="preserve">, </w:t>
      </w:r>
      <w:proofErr w:type="spellStart"/>
      <w:r w:rsidRPr="004062FD">
        <w:rPr>
          <w:rFonts w:ascii="Arial" w:hAnsi="Arial" w:cs="Arial"/>
          <w:bCs/>
        </w:rPr>
        <w:t>m</w:t>
      </w:r>
      <w:r w:rsidR="00100DF5" w:rsidRPr="004062FD">
        <w:rPr>
          <w:rFonts w:ascii="Arial" w:hAnsi="Arial" w:cs="Arial"/>
          <w:bCs/>
        </w:rPr>
        <w:t>embentuk</w:t>
      </w:r>
      <w:proofErr w:type="spellEnd"/>
      <w:r w:rsidR="00100DF5" w:rsidRPr="004062FD">
        <w:rPr>
          <w:rFonts w:ascii="Arial" w:hAnsi="Arial" w:cs="Arial"/>
          <w:bCs/>
        </w:rPr>
        <w:t xml:space="preserve"> </w:t>
      </w:r>
      <w:r w:rsidRPr="004062FD">
        <w:rPr>
          <w:rFonts w:ascii="Arial" w:hAnsi="Arial" w:cs="Arial"/>
          <w:bCs/>
        </w:rPr>
        <w:t xml:space="preserve">19.4% </w:t>
      </w:r>
      <w:proofErr w:type="spellStart"/>
      <w:r w:rsidRPr="004062FD">
        <w:rPr>
          <w:rFonts w:ascii="Arial" w:hAnsi="Arial" w:cs="Arial"/>
          <w:bCs/>
        </w:rPr>
        <w:t>daripada</w:t>
      </w:r>
      <w:proofErr w:type="spellEnd"/>
      <w:r w:rsidRPr="004062FD">
        <w:rPr>
          <w:rFonts w:ascii="Arial" w:hAnsi="Arial" w:cs="Arial"/>
          <w:bCs/>
        </w:rPr>
        <w:t xml:space="preserve"> </w:t>
      </w:r>
      <w:proofErr w:type="spellStart"/>
      <w:r w:rsidR="00435A41" w:rsidRPr="004062FD">
        <w:rPr>
          <w:rFonts w:ascii="Arial" w:hAnsi="Arial" w:cs="Arial"/>
          <w:bCs/>
        </w:rPr>
        <w:t>bilangan</w:t>
      </w:r>
      <w:proofErr w:type="spellEnd"/>
      <w:r w:rsidRPr="004062FD">
        <w:rPr>
          <w:rFonts w:ascii="Arial" w:hAnsi="Arial" w:cs="Arial"/>
          <w:bCs/>
        </w:rPr>
        <w:t xml:space="preserve"> </w:t>
      </w:r>
      <w:proofErr w:type="spellStart"/>
      <w:r w:rsidR="00100DF5" w:rsidRPr="004062FD">
        <w:rPr>
          <w:rFonts w:ascii="Arial" w:hAnsi="Arial" w:cs="Arial"/>
          <w:bCs/>
        </w:rPr>
        <w:t>transaksi</w:t>
      </w:r>
      <w:proofErr w:type="spellEnd"/>
      <w:r w:rsidR="00100DF5" w:rsidRPr="004062FD">
        <w:rPr>
          <w:rFonts w:ascii="Arial" w:hAnsi="Arial" w:cs="Arial"/>
          <w:bCs/>
        </w:rPr>
        <w:t xml:space="preserve"> </w:t>
      </w:r>
      <w:proofErr w:type="spellStart"/>
      <w:r w:rsidR="00BC0507" w:rsidRPr="004062FD">
        <w:rPr>
          <w:rFonts w:ascii="Arial" w:hAnsi="Arial" w:cs="Arial"/>
          <w:bCs/>
        </w:rPr>
        <w:t>harta</w:t>
      </w:r>
      <w:proofErr w:type="spellEnd"/>
      <w:r w:rsidR="00BC0507" w:rsidRPr="004062FD">
        <w:rPr>
          <w:rFonts w:ascii="Arial" w:hAnsi="Arial" w:cs="Arial"/>
          <w:bCs/>
        </w:rPr>
        <w:t xml:space="preserve"> </w:t>
      </w:r>
      <w:proofErr w:type="spellStart"/>
      <w:r w:rsidR="00BC0507" w:rsidRPr="004062FD">
        <w:rPr>
          <w:rFonts w:ascii="Arial" w:hAnsi="Arial" w:cs="Arial"/>
          <w:bCs/>
        </w:rPr>
        <w:t>tanah</w:t>
      </w:r>
      <w:proofErr w:type="spellEnd"/>
      <w:r w:rsidRPr="004062FD">
        <w:rPr>
          <w:rFonts w:ascii="Arial" w:hAnsi="Arial" w:cs="Arial"/>
          <w:bCs/>
        </w:rPr>
        <w:t xml:space="preserve"> </w:t>
      </w:r>
      <w:proofErr w:type="spellStart"/>
      <w:r w:rsidR="00881942">
        <w:rPr>
          <w:rFonts w:ascii="Arial" w:hAnsi="Arial" w:cs="Arial"/>
          <w:bCs/>
        </w:rPr>
        <w:t>perdagangan</w:t>
      </w:r>
      <w:proofErr w:type="spellEnd"/>
      <w:r w:rsidRPr="004062FD">
        <w:rPr>
          <w:rFonts w:ascii="Arial" w:hAnsi="Arial" w:cs="Arial"/>
          <w:bCs/>
        </w:rPr>
        <w:t xml:space="preserve"> dan 10.1% </w:t>
      </w:r>
      <w:proofErr w:type="spellStart"/>
      <w:r w:rsidRPr="004062FD">
        <w:rPr>
          <w:rFonts w:ascii="Arial" w:hAnsi="Arial" w:cs="Arial"/>
          <w:bCs/>
        </w:rPr>
        <w:t>daripada</w:t>
      </w:r>
      <w:proofErr w:type="spellEnd"/>
      <w:r w:rsidRPr="004062FD">
        <w:rPr>
          <w:rFonts w:ascii="Arial" w:hAnsi="Arial" w:cs="Arial"/>
          <w:bCs/>
        </w:rPr>
        <w:t xml:space="preserve"> </w:t>
      </w:r>
      <w:proofErr w:type="spellStart"/>
      <w:r w:rsidRPr="004062FD">
        <w:rPr>
          <w:rFonts w:ascii="Arial" w:hAnsi="Arial" w:cs="Arial"/>
          <w:bCs/>
        </w:rPr>
        <w:t>nilai</w:t>
      </w:r>
      <w:proofErr w:type="spellEnd"/>
      <w:r w:rsidR="00100DF5" w:rsidRPr="004062FD">
        <w:rPr>
          <w:rFonts w:ascii="Arial" w:hAnsi="Arial" w:cs="Arial"/>
          <w:bCs/>
        </w:rPr>
        <w:t xml:space="preserve">. </w:t>
      </w:r>
      <w:proofErr w:type="spellStart"/>
      <w:r w:rsidR="00100DF5" w:rsidRPr="004062FD">
        <w:rPr>
          <w:rFonts w:ascii="Arial" w:hAnsi="Arial" w:cs="Arial"/>
          <w:bCs/>
        </w:rPr>
        <w:t>P</w:t>
      </w:r>
      <w:r w:rsidRPr="004062FD">
        <w:rPr>
          <w:rFonts w:ascii="Arial" w:hAnsi="Arial" w:cs="Arial"/>
          <w:bCs/>
        </w:rPr>
        <w:t>restasi</w:t>
      </w:r>
      <w:proofErr w:type="spellEnd"/>
      <w:r w:rsidRPr="004062FD">
        <w:rPr>
          <w:rFonts w:ascii="Arial" w:hAnsi="Arial" w:cs="Arial"/>
          <w:bCs/>
        </w:rPr>
        <w:t xml:space="preserve"> </w:t>
      </w:r>
      <w:proofErr w:type="spellStart"/>
      <w:r w:rsidRPr="004062FD">
        <w:rPr>
          <w:rFonts w:ascii="Arial" w:hAnsi="Arial" w:cs="Arial"/>
          <w:bCs/>
        </w:rPr>
        <w:t>pasaran</w:t>
      </w:r>
      <w:proofErr w:type="spellEnd"/>
      <w:r w:rsidRPr="004062FD">
        <w:rPr>
          <w:rFonts w:ascii="Arial" w:hAnsi="Arial" w:cs="Arial"/>
          <w:bCs/>
        </w:rPr>
        <w:t xml:space="preserve"> </w:t>
      </w:r>
      <w:proofErr w:type="spellStart"/>
      <w:r w:rsidRPr="004062FD">
        <w:rPr>
          <w:rFonts w:ascii="Arial" w:hAnsi="Arial" w:cs="Arial"/>
          <w:bCs/>
        </w:rPr>
        <w:t>me</w:t>
      </w:r>
      <w:r w:rsidR="00100DF5" w:rsidRPr="004062FD">
        <w:rPr>
          <w:rFonts w:ascii="Arial" w:hAnsi="Arial" w:cs="Arial"/>
          <w:bCs/>
        </w:rPr>
        <w:t>rekodkan</w:t>
      </w:r>
      <w:proofErr w:type="spellEnd"/>
      <w:r w:rsidR="00100DF5" w:rsidRPr="004062FD">
        <w:rPr>
          <w:rFonts w:ascii="Arial" w:hAnsi="Arial" w:cs="Arial"/>
          <w:bCs/>
        </w:rPr>
        <w:t xml:space="preserve"> </w:t>
      </w:r>
      <w:proofErr w:type="spellStart"/>
      <w:r w:rsidRPr="004062FD">
        <w:rPr>
          <w:rFonts w:ascii="Arial" w:hAnsi="Arial" w:cs="Arial"/>
          <w:bCs/>
        </w:rPr>
        <w:t>peningkatan</w:t>
      </w:r>
      <w:proofErr w:type="spellEnd"/>
      <w:r w:rsidR="00100DF5" w:rsidRPr="004062FD">
        <w:rPr>
          <w:rFonts w:ascii="Arial" w:hAnsi="Arial" w:cs="Arial"/>
          <w:bCs/>
        </w:rPr>
        <w:t xml:space="preserve"> pada </w:t>
      </w:r>
      <w:r w:rsidRPr="004062FD">
        <w:rPr>
          <w:rFonts w:ascii="Arial" w:hAnsi="Arial" w:cs="Arial"/>
          <w:bCs/>
        </w:rPr>
        <w:t xml:space="preserve">12.7% </w:t>
      </w:r>
      <w:r w:rsidR="00100DF5" w:rsidRPr="004062FD">
        <w:rPr>
          <w:rFonts w:ascii="Arial" w:hAnsi="Arial" w:cs="Arial"/>
          <w:bCs/>
        </w:rPr>
        <w:t xml:space="preserve">di </w:t>
      </w:r>
      <w:proofErr w:type="spellStart"/>
      <w:r w:rsidRPr="004062FD">
        <w:rPr>
          <w:rFonts w:ascii="Arial" w:hAnsi="Arial" w:cs="Arial"/>
          <w:bCs/>
        </w:rPr>
        <w:t>dalam</w:t>
      </w:r>
      <w:proofErr w:type="spellEnd"/>
      <w:r w:rsidRPr="004062FD">
        <w:rPr>
          <w:rFonts w:ascii="Arial" w:hAnsi="Arial" w:cs="Arial"/>
          <w:bCs/>
        </w:rPr>
        <w:t xml:space="preserve"> </w:t>
      </w:r>
      <w:proofErr w:type="spellStart"/>
      <w:r w:rsidR="00435A41" w:rsidRPr="004062FD">
        <w:rPr>
          <w:rFonts w:ascii="Arial" w:hAnsi="Arial" w:cs="Arial"/>
          <w:bCs/>
        </w:rPr>
        <w:t>bilangan</w:t>
      </w:r>
      <w:proofErr w:type="spellEnd"/>
      <w:r w:rsidRPr="004062FD">
        <w:rPr>
          <w:rFonts w:ascii="Arial" w:hAnsi="Arial" w:cs="Arial"/>
          <w:bCs/>
        </w:rPr>
        <w:t xml:space="preserve"> dan 11.1% </w:t>
      </w:r>
      <w:r w:rsidR="00100DF5" w:rsidRPr="004062FD">
        <w:rPr>
          <w:rFonts w:ascii="Arial" w:hAnsi="Arial" w:cs="Arial"/>
          <w:bCs/>
        </w:rPr>
        <w:t xml:space="preserve">di </w:t>
      </w:r>
      <w:proofErr w:type="spellStart"/>
      <w:r w:rsidRPr="004062FD">
        <w:rPr>
          <w:rFonts w:ascii="Arial" w:hAnsi="Arial" w:cs="Arial"/>
          <w:bCs/>
        </w:rPr>
        <w:t>dalam</w:t>
      </w:r>
      <w:proofErr w:type="spellEnd"/>
      <w:r w:rsidRPr="004062FD">
        <w:rPr>
          <w:rFonts w:ascii="Arial" w:hAnsi="Arial" w:cs="Arial"/>
          <w:bCs/>
        </w:rPr>
        <w:t xml:space="preserve"> </w:t>
      </w:r>
      <w:proofErr w:type="spellStart"/>
      <w:r w:rsidRPr="004062FD">
        <w:rPr>
          <w:rFonts w:ascii="Arial" w:hAnsi="Arial" w:cs="Arial"/>
          <w:bCs/>
        </w:rPr>
        <w:t>nilai</w:t>
      </w:r>
      <w:proofErr w:type="spellEnd"/>
      <w:r w:rsidRPr="004062FD">
        <w:rPr>
          <w:rFonts w:ascii="Arial" w:hAnsi="Arial" w:cs="Arial"/>
          <w:bCs/>
        </w:rPr>
        <w:t xml:space="preserve"> </w:t>
      </w:r>
      <w:proofErr w:type="spellStart"/>
      <w:r w:rsidRPr="004062FD">
        <w:rPr>
          <w:rFonts w:ascii="Arial" w:hAnsi="Arial" w:cs="Arial"/>
          <w:bCs/>
        </w:rPr>
        <w:t>transaksi</w:t>
      </w:r>
      <w:proofErr w:type="spellEnd"/>
      <w:r w:rsidRPr="004062FD">
        <w:rPr>
          <w:rFonts w:ascii="Arial" w:hAnsi="Arial" w:cs="Arial"/>
          <w:bCs/>
        </w:rPr>
        <w:t xml:space="preserve"> </w:t>
      </w:r>
      <w:proofErr w:type="spellStart"/>
      <w:r w:rsidRPr="004062FD">
        <w:rPr>
          <w:rFonts w:ascii="Arial" w:hAnsi="Arial" w:cs="Arial"/>
          <w:bCs/>
        </w:rPr>
        <w:t>berbanding</w:t>
      </w:r>
      <w:proofErr w:type="spellEnd"/>
      <w:r w:rsidRPr="004062FD">
        <w:rPr>
          <w:rFonts w:ascii="Arial" w:hAnsi="Arial" w:cs="Arial"/>
          <w:bCs/>
        </w:rPr>
        <w:t xml:space="preserve"> 2020.</w:t>
      </w:r>
    </w:p>
    <w:p w14:paraId="357842D3" w14:textId="77777777" w:rsidR="008D55F2" w:rsidRPr="004062FD" w:rsidRDefault="008D55F2" w:rsidP="008D55F2">
      <w:pPr>
        <w:pStyle w:val="ListParagraph"/>
        <w:spacing w:line="360" w:lineRule="auto"/>
        <w:ind w:left="450"/>
        <w:jc w:val="both"/>
        <w:rPr>
          <w:rFonts w:ascii="Arial" w:hAnsi="Arial" w:cs="Arial"/>
          <w:bCs/>
          <w:lang w:val="ms-MY"/>
        </w:rPr>
      </w:pPr>
    </w:p>
    <w:p w14:paraId="28ECCE6A" w14:textId="0EC9A83B" w:rsidR="008D55F2" w:rsidRPr="004062FD" w:rsidRDefault="000D39C8" w:rsidP="008D55F2">
      <w:pPr>
        <w:pStyle w:val="ListParagraph"/>
        <w:numPr>
          <w:ilvl w:val="0"/>
          <w:numId w:val="14"/>
        </w:numPr>
        <w:spacing w:line="360" w:lineRule="auto"/>
        <w:ind w:left="450" w:hanging="450"/>
        <w:jc w:val="both"/>
        <w:rPr>
          <w:rFonts w:ascii="Arial" w:hAnsi="Arial" w:cs="Arial"/>
          <w:bCs/>
          <w:lang w:val="ms-MY"/>
        </w:rPr>
      </w:pPr>
      <w:r w:rsidRPr="004062FD">
        <w:rPr>
          <w:rFonts w:ascii="Arial" w:hAnsi="Arial" w:cs="Arial"/>
          <w:lang w:val="ms-MY"/>
        </w:rPr>
        <w:t xml:space="preserve">Segmen pangsapuri </w:t>
      </w:r>
      <w:r w:rsidR="00C26FFD" w:rsidRPr="004062FD">
        <w:rPr>
          <w:rFonts w:ascii="Arial" w:hAnsi="Arial" w:cs="Arial"/>
          <w:lang w:val="ms-MY"/>
        </w:rPr>
        <w:t>khidmat</w:t>
      </w:r>
      <w:r w:rsidRPr="004062FD">
        <w:rPr>
          <w:rFonts w:ascii="Arial" w:hAnsi="Arial" w:cs="Arial"/>
          <w:lang w:val="ms-MY"/>
        </w:rPr>
        <w:t xml:space="preserve"> merekod</w:t>
      </w:r>
      <w:r w:rsidR="008E0FD4" w:rsidRPr="004062FD">
        <w:rPr>
          <w:rFonts w:ascii="Arial" w:hAnsi="Arial" w:cs="Arial"/>
          <w:lang w:val="ms-MY"/>
        </w:rPr>
        <w:t>kan</w:t>
      </w:r>
      <w:r w:rsidRPr="004062FD">
        <w:rPr>
          <w:rFonts w:ascii="Arial" w:hAnsi="Arial" w:cs="Arial"/>
          <w:lang w:val="ms-MY"/>
        </w:rPr>
        <w:t xml:space="preserve"> 24,295 unit</w:t>
      </w:r>
      <w:r w:rsidR="008E0FD4" w:rsidRPr="004062FD">
        <w:rPr>
          <w:rFonts w:ascii="Arial" w:hAnsi="Arial" w:cs="Arial"/>
          <w:lang w:val="ms-MY"/>
        </w:rPr>
        <w:t xml:space="preserve"> Siap Dibina Tidak Terjual bernilai </w:t>
      </w:r>
      <w:r w:rsidRPr="004062FD">
        <w:rPr>
          <w:rFonts w:ascii="Arial" w:hAnsi="Arial" w:cs="Arial"/>
          <w:lang w:val="ms-MY"/>
        </w:rPr>
        <w:t xml:space="preserve"> RM20.46 bilion, meningkat 2.9%</w:t>
      </w:r>
      <w:r w:rsidR="008E0FD4" w:rsidRPr="004062FD">
        <w:rPr>
          <w:rFonts w:ascii="Arial" w:hAnsi="Arial" w:cs="Arial"/>
          <w:lang w:val="ms-MY"/>
        </w:rPr>
        <w:t xml:space="preserve"> di</w:t>
      </w:r>
      <w:r w:rsidRPr="004062FD">
        <w:rPr>
          <w:rFonts w:ascii="Arial" w:hAnsi="Arial" w:cs="Arial"/>
          <w:lang w:val="ms-MY"/>
        </w:rPr>
        <w:t xml:space="preserve"> dalam </w:t>
      </w:r>
      <w:r w:rsidR="00435A41" w:rsidRPr="004062FD">
        <w:rPr>
          <w:rFonts w:ascii="Arial" w:hAnsi="Arial" w:cs="Arial"/>
          <w:lang w:val="ms-MY"/>
        </w:rPr>
        <w:t>bilangan</w:t>
      </w:r>
      <w:r w:rsidRPr="004062FD">
        <w:rPr>
          <w:rFonts w:ascii="Arial" w:hAnsi="Arial" w:cs="Arial"/>
          <w:lang w:val="ms-MY"/>
        </w:rPr>
        <w:t xml:space="preserve"> tetapi turun 1.4% </w:t>
      </w:r>
      <w:r w:rsidR="008E0FD4" w:rsidRPr="004062FD">
        <w:rPr>
          <w:rFonts w:ascii="Arial" w:hAnsi="Arial" w:cs="Arial"/>
          <w:lang w:val="ms-MY"/>
        </w:rPr>
        <w:t xml:space="preserve">di </w:t>
      </w:r>
      <w:r w:rsidRPr="004062FD">
        <w:rPr>
          <w:rFonts w:ascii="Arial" w:hAnsi="Arial" w:cs="Arial"/>
          <w:lang w:val="ms-MY"/>
        </w:rPr>
        <w:t>dalam nilai berbanding 2020. Johor me</w:t>
      </w:r>
      <w:r w:rsidR="008E0FD4" w:rsidRPr="004062FD">
        <w:rPr>
          <w:rFonts w:ascii="Arial" w:hAnsi="Arial" w:cs="Arial"/>
          <w:lang w:val="ms-MY"/>
        </w:rPr>
        <w:t xml:space="preserve">rekodkan </w:t>
      </w:r>
      <w:r w:rsidR="00435A41" w:rsidRPr="004062FD">
        <w:rPr>
          <w:rFonts w:ascii="Arial" w:hAnsi="Arial" w:cs="Arial"/>
          <w:lang w:val="ms-MY"/>
        </w:rPr>
        <w:t xml:space="preserve">bilangan </w:t>
      </w:r>
      <w:r w:rsidRPr="004062FD">
        <w:rPr>
          <w:rFonts w:ascii="Arial" w:hAnsi="Arial" w:cs="Arial"/>
          <w:lang w:val="ms-MY"/>
        </w:rPr>
        <w:t xml:space="preserve">tertinggi </w:t>
      </w:r>
      <w:r w:rsidR="008E0FD4" w:rsidRPr="004062FD">
        <w:rPr>
          <w:rFonts w:ascii="Arial" w:hAnsi="Arial" w:cs="Arial"/>
          <w:lang w:val="ms-MY"/>
        </w:rPr>
        <w:t xml:space="preserve">dalam </w:t>
      </w:r>
      <w:r w:rsidRPr="004062FD">
        <w:rPr>
          <w:rFonts w:ascii="Arial" w:hAnsi="Arial" w:cs="Arial"/>
          <w:lang w:val="ms-MY"/>
        </w:rPr>
        <w:t xml:space="preserve">negara dengan 67.8% </w:t>
      </w:r>
      <w:r w:rsidR="008E0FD4" w:rsidRPr="004062FD">
        <w:rPr>
          <w:rFonts w:ascii="Arial" w:hAnsi="Arial" w:cs="Arial"/>
          <w:lang w:val="ms-MY"/>
        </w:rPr>
        <w:t>syer</w:t>
      </w:r>
      <w:r w:rsidR="00391F52" w:rsidRPr="004062FD">
        <w:rPr>
          <w:rFonts w:ascii="Arial" w:hAnsi="Arial" w:cs="Arial"/>
          <w:lang w:val="ms-MY"/>
        </w:rPr>
        <w:t xml:space="preserve"> </w:t>
      </w:r>
      <w:r w:rsidRPr="004062FD">
        <w:rPr>
          <w:rFonts w:ascii="Arial" w:hAnsi="Arial" w:cs="Arial"/>
          <w:lang w:val="ms-MY"/>
        </w:rPr>
        <w:t xml:space="preserve">(16,476 unit) dan 69.1% </w:t>
      </w:r>
      <w:r w:rsidR="008E0FD4" w:rsidRPr="004062FD">
        <w:rPr>
          <w:rFonts w:ascii="Arial" w:hAnsi="Arial" w:cs="Arial"/>
          <w:lang w:val="ms-MY"/>
        </w:rPr>
        <w:t xml:space="preserve">syer di </w:t>
      </w:r>
      <w:r w:rsidRPr="004062FD">
        <w:rPr>
          <w:rFonts w:ascii="Arial" w:hAnsi="Arial" w:cs="Arial"/>
          <w:lang w:val="ms-MY"/>
        </w:rPr>
        <w:t>dalam nilai (RM14.14 bilion)</w:t>
      </w:r>
      <w:r w:rsidR="008D55F2" w:rsidRPr="004062FD">
        <w:rPr>
          <w:rFonts w:ascii="Arial" w:hAnsi="Arial" w:cs="Arial"/>
          <w:lang w:val="ms-MY"/>
        </w:rPr>
        <w:t>.</w:t>
      </w:r>
    </w:p>
    <w:p w14:paraId="3809E9B9" w14:textId="77777777" w:rsidR="008D55F2" w:rsidRPr="004062FD" w:rsidRDefault="008D55F2" w:rsidP="008D55F2">
      <w:pPr>
        <w:pStyle w:val="ListParagraph"/>
        <w:spacing w:line="360" w:lineRule="auto"/>
        <w:ind w:left="450"/>
        <w:jc w:val="both"/>
        <w:rPr>
          <w:rFonts w:ascii="Arial" w:hAnsi="Arial" w:cs="Arial"/>
          <w:bCs/>
          <w:lang w:val="ms-MY"/>
        </w:rPr>
      </w:pPr>
    </w:p>
    <w:p w14:paraId="12E5B45B" w14:textId="62A58632" w:rsidR="008D55F2" w:rsidRPr="004062FD" w:rsidRDefault="000D39C8" w:rsidP="008D55F2">
      <w:pPr>
        <w:pStyle w:val="ListParagraph"/>
        <w:numPr>
          <w:ilvl w:val="0"/>
          <w:numId w:val="14"/>
        </w:numPr>
        <w:spacing w:line="360" w:lineRule="auto"/>
        <w:ind w:left="450" w:hanging="450"/>
        <w:jc w:val="both"/>
        <w:rPr>
          <w:rFonts w:ascii="Arial" w:hAnsi="Arial" w:cs="Arial"/>
          <w:bCs/>
          <w:lang w:val="ms-MY"/>
        </w:rPr>
      </w:pPr>
      <w:r w:rsidRPr="004062FD">
        <w:rPr>
          <w:rFonts w:ascii="Arial" w:hAnsi="Arial" w:cs="Arial"/>
          <w:lang w:val="ms-MY"/>
        </w:rPr>
        <w:t xml:space="preserve">Begitu juga, </w:t>
      </w:r>
      <w:r w:rsidR="008E0FD4" w:rsidRPr="004062FD">
        <w:rPr>
          <w:rFonts w:ascii="Arial" w:hAnsi="Arial" w:cs="Arial"/>
          <w:lang w:val="ms-MY"/>
        </w:rPr>
        <w:t xml:space="preserve">Dalam Pembinaan Belum Terjual </w:t>
      </w:r>
      <w:r w:rsidRPr="004062FD">
        <w:rPr>
          <w:rFonts w:ascii="Arial" w:hAnsi="Arial" w:cs="Arial"/>
          <w:lang w:val="ms-MY"/>
        </w:rPr>
        <w:t xml:space="preserve">dan </w:t>
      </w:r>
      <w:r w:rsidR="008E0FD4" w:rsidRPr="004062FD">
        <w:rPr>
          <w:rFonts w:ascii="Arial" w:hAnsi="Arial" w:cs="Arial"/>
          <w:lang w:val="ms-MY"/>
        </w:rPr>
        <w:t xml:space="preserve">Belum Dibina Belum Terjual </w:t>
      </w:r>
      <w:r w:rsidRPr="004062FD">
        <w:rPr>
          <w:rFonts w:ascii="Arial" w:hAnsi="Arial" w:cs="Arial"/>
          <w:lang w:val="ms-MY"/>
        </w:rPr>
        <w:t xml:space="preserve">meningkat kepada 42,094 unit dan 8,361 unit, masing-masing </w:t>
      </w:r>
      <w:r w:rsidR="006F57D3" w:rsidRPr="004062FD">
        <w:rPr>
          <w:rFonts w:ascii="Arial" w:hAnsi="Arial" w:cs="Arial"/>
          <w:lang w:val="ms-MY"/>
        </w:rPr>
        <w:t>naik pada</w:t>
      </w:r>
      <w:r w:rsidRPr="004062FD">
        <w:rPr>
          <w:rFonts w:ascii="Arial" w:hAnsi="Arial" w:cs="Arial"/>
          <w:lang w:val="ms-MY"/>
        </w:rPr>
        <w:t xml:space="preserve"> 19.4% dan 2.6%. WP Kuala Lumpur </w:t>
      </w:r>
      <w:r w:rsidR="006F57D3" w:rsidRPr="004062FD">
        <w:rPr>
          <w:rFonts w:ascii="Arial" w:hAnsi="Arial" w:cs="Arial"/>
          <w:lang w:val="ms-MY"/>
        </w:rPr>
        <w:t>memiliki</w:t>
      </w:r>
      <w:r w:rsidRPr="004062FD">
        <w:rPr>
          <w:rFonts w:ascii="Arial" w:hAnsi="Arial" w:cs="Arial"/>
          <w:lang w:val="ms-MY"/>
        </w:rPr>
        <w:t xml:space="preserve"> jumlah tertinggi</w:t>
      </w:r>
      <w:r w:rsidR="003B63E3" w:rsidRPr="004062FD">
        <w:rPr>
          <w:rFonts w:ascii="Arial" w:hAnsi="Arial" w:cs="Arial"/>
          <w:lang w:val="ms-MY"/>
        </w:rPr>
        <w:t xml:space="preserve"> bagi</w:t>
      </w:r>
      <w:r w:rsidRPr="004062FD">
        <w:rPr>
          <w:rFonts w:ascii="Arial" w:hAnsi="Arial" w:cs="Arial"/>
          <w:lang w:val="ms-MY"/>
        </w:rPr>
        <w:t xml:space="preserve"> </w:t>
      </w:r>
      <w:r w:rsidR="006F57D3" w:rsidRPr="004062FD">
        <w:rPr>
          <w:rFonts w:ascii="Arial" w:hAnsi="Arial" w:cs="Arial"/>
          <w:lang w:val="ms-MY"/>
        </w:rPr>
        <w:t>Dalam Pembinaan Belum Terjual</w:t>
      </w:r>
      <w:r w:rsidRPr="004062FD">
        <w:rPr>
          <w:rFonts w:ascii="Arial" w:hAnsi="Arial" w:cs="Arial"/>
          <w:lang w:val="ms-MY"/>
        </w:rPr>
        <w:t xml:space="preserve">, dengan 41.2% </w:t>
      </w:r>
      <w:r w:rsidR="006F57D3" w:rsidRPr="004062FD">
        <w:rPr>
          <w:rFonts w:ascii="Arial" w:hAnsi="Arial" w:cs="Arial"/>
          <w:lang w:val="ms-MY"/>
        </w:rPr>
        <w:t>syer</w:t>
      </w:r>
      <w:r w:rsidRPr="004062FD">
        <w:rPr>
          <w:rFonts w:ascii="Arial" w:hAnsi="Arial" w:cs="Arial"/>
          <w:lang w:val="ms-MY"/>
        </w:rPr>
        <w:t xml:space="preserve"> (17,356 unit), diikuti Selangor dengan 25.2% </w:t>
      </w:r>
      <w:r w:rsidR="006F57D3" w:rsidRPr="004062FD">
        <w:rPr>
          <w:rFonts w:ascii="Arial" w:hAnsi="Arial" w:cs="Arial"/>
          <w:lang w:val="ms-MY"/>
        </w:rPr>
        <w:t>syer</w:t>
      </w:r>
      <w:r w:rsidRPr="004062FD">
        <w:rPr>
          <w:rFonts w:ascii="Arial" w:hAnsi="Arial" w:cs="Arial"/>
          <w:lang w:val="ms-MY"/>
        </w:rPr>
        <w:t xml:space="preserve"> (10,619 unit) dan Johor 19.0% (7,982 unit).</w:t>
      </w:r>
    </w:p>
    <w:p w14:paraId="1188CF77" w14:textId="77777777" w:rsidR="006F57D3" w:rsidRPr="004062FD" w:rsidRDefault="006F57D3" w:rsidP="008D55F2">
      <w:pPr>
        <w:pStyle w:val="ListParagraph"/>
        <w:spacing w:line="360" w:lineRule="auto"/>
        <w:ind w:left="450"/>
        <w:jc w:val="both"/>
        <w:rPr>
          <w:rFonts w:ascii="Arial" w:hAnsi="Arial" w:cs="Arial"/>
          <w:bCs/>
          <w:lang w:val="ms-MY"/>
        </w:rPr>
      </w:pPr>
    </w:p>
    <w:p w14:paraId="57169E91" w14:textId="2722DB1D" w:rsidR="008D55F2" w:rsidRPr="004062FD" w:rsidRDefault="000D39C8" w:rsidP="008D55F2">
      <w:pPr>
        <w:pStyle w:val="ListParagraph"/>
        <w:numPr>
          <w:ilvl w:val="0"/>
          <w:numId w:val="14"/>
        </w:numPr>
        <w:spacing w:line="360" w:lineRule="auto"/>
        <w:ind w:left="450" w:hanging="450"/>
        <w:jc w:val="both"/>
        <w:rPr>
          <w:rFonts w:ascii="Arial" w:hAnsi="Arial" w:cs="Arial"/>
          <w:color w:val="FF0000"/>
          <w:lang w:val="ms-MY"/>
        </w:rPr>
      </w:pPr>
      <w:proofErr w:type="spellStart"/>
      <w:r w:rsidRPr="004062FD">
        <w:rPr>
          <w:rFonts w:ascii="Arial" w:hAnsi="Arial" w:cs="Arial"/>
          <w:bCs/>
          <w:lang w:val="en-GB"/>
        </w:rPr>
        <w:t>Aktiviti</w:t>
      </w:r>
      <w:proofErr w:type="spellEnd"/>
      <w:r w:rsidRPr="004062FD">
        <w:rPr>
          <w:rFonts w:ascii="Arial" w:hAnsi="Arial" w:cs="Arial"/>
          <w:bCs/>
          <w:lang w:val="en-GB"/>
        </w:rPr>
        <w:t xml:space="preserve"> </w:t>
      </w:r>
      <w:proofErr w:type="spellStart"/>
      <w:r w:rsidRPr="004062FD">
        <w:rPr>
          <w:rFonts w:ascii="Arial" w:hAnsi="Arial" w:cs="Arial"/>
          <w:bCs/>
          <w:lang w:val="en-GB"/>
        </w:rPr>
        <w:t>Pembinaan</w:t>
      </w:r>
      <w:proofErr w:type="spellEnd"/>
      <w:r w:rsidRPr="004062FD">
        <w:rPr>
          <w:rFonts w:ascii="Arial" w:hAnsi="Arial" w:cs="Arial"/>
          <w:bCs/>
          <w:lang w:val="en-GB"/>
        </w:rPr>
        <w:t xml:space="preserve"> </w:t>
      </w:r>
      <w:proofErr w:type="spellStart"/>
      <w:r w:rsidRPr="004062FD">
        <w:rPr>
          <w:rFonts w:ascii="Arial" w:hAnsi="Arial" w:cs="Arial"/>
          <w:bCs/>
          <w:lang w:val="en-GB"/>
        </w:rPr>
        <w:t>menyaksikan</w:t>
      </w:r>
      <w:proofErr w:type="spellEnd"/>
      <w:r w:rsidRPr="004062FD">
        <w:rPr>
          <w:rFonts w:ascii="Arial" w:hAnsi="Arial" w:cs="Arial"/>
          <w:bCs/>
          <w:lang w:val="en-GB"/>
        </w:rPr>
        <w:t xml:space="preserve"> </w:t>
      </w:r>
      <w:proofErr w:type="spellStart"/>
      <w:r w:rsidRPr="004062FD">
        <w:rPr>
          <w:rFonts w:ascii="Arial" w:hAnsi="Arial" w:cs="Arial"/>
          <w:bCs/>
          <w:lang w:val="en-GB"/>
        </w:rPr>
        <w:t>aliran</w:t>
      </w:r>
      <w:proofErr w:type="spellEnd"/>
      <w:r w:rsidRPr="004062FD">
        <w:rPr>
          <w:rFonts w:ascii="Arial" w:hAnsi="Arial" w:cs="Arial"/>
          <w:bCs/>
          <w:lang w:val="en-GB"/>
        </w:rPr>
        <w:t xml:space="preserve"> </w:t>
      </w:r>
      <w:proofErr w:type="spellStart"/>
      <w:r w:rsidRPr="004062FD">
        <w:rPr>
          <w:rFonts w:ascii="Arial" w:hAnsi="Arial" w:cs="Arial"/>
          <w:bCs/>
          <w:lang w:val="en-GB"/>
        </w:rPr>
        <w:t>bercampur-dengan</w:t>
      </w:r>
      <w:proofErr w:type="spellEnd"/>
      <w:r w:rsidRPr="004062FD">
        <w:rPr>
          <w:rFonts w:ascii="Arial" w:hAnsi="Arial" w:cs="Arial"/>
          <w:bCs/>
          <w:lang w:val="en-GB"/>
        </w:rPr>
        <w:t xml:space="preserve"> </w:t>
      </w:r>
      <w:proofErr w:type="spellStart"/>
      <w:r w:rsidR="002C2CD8" w:rsidRPr="004062FD">
        <w:rPr>
          <w:rFonts w:ascii="Arial" w:hAnsi="Arial" w:cs="Arial"/>
          <w:bCs/>
          <w:lang w:val="en-GB"/>
        </w:rPr>
        <w:t>mula</w:t>
      </w:r>
      <w:proofErr w:type="spellEnd"/>
      <w:r w:rsidR="002C2CD8" w:rsidRPr="004062FD">
        <w:rPr>
          <w:rFonts w:ascii="Arial" w:hAnsi="Arial" w:cs="Arial"/>
          <w:bCs/>
          <w:lang w:val="en-GB"/>
        </w:rPr>
        <w:t xml:space="preserve"> </w:t>
      </w:r>
      <w:proofErr w:type="spellStart"/>
      <w:r w:rsidR="002C2CD8" w:rsidRPr="004062FD">
        <w:rPr>
          <w:rFonts w:ascii="Arial" w:hAnsi="Arial" w:cs="Arial"/>
          <w:bCs/>
          <w:lang w:val="en-GB"/>
        </w:rPr>
        <w:t>dibina</w:t>
      </w:r>
      <w:proofErr w:type="spellEnd"/>
      <w:r w:rsidRPr="004062FD">
        <w:rPr>
          <w:rFonts w:ascii="Arial" w:hAnsi="Arial" w:cs="Arial"/>
          <w:bCs/>
          <w:lang w:val="en-GB"/>
        </w:rPr>
        <w:t xml:space="preserve"> </w:t>
      </w:r>
      <w:proofErr w:type="spellStart"/>
      <w:r w:rsidRPr="004062FD">
        <w:rPr>
          <w:rFonts w:ascii="Arial" w:hAnsi="Arial" w:cs="Arial"/>
          <w:bCs/>
          <w:lang w:val="en-GB"/>
        </w:rPr>
        <w:t>meningkat</w:t>
      </w:r>
      <w:proofErr w:type="spellEnd"/>
      <w:r w:rsidRPr="004062FD">
        <w:rPr>
          <w:rFonts w:ascii="Arial" w:hAnsi="Arial" w:cs="Arial"/>
          <w:bCs/>
          <w:lang w:val="en-GB"/>
        </w:rPr>
        <w:t xml:space="preserve"> </w:t>
      </w:r>
      <w:proofErr w:type="spellStart"/>
      <w:r w:rsidRPr="004062FD">
        <w:rPr>
          <w:rFonts w:ascii="Arial" w:hAnsi="Arial" w:cs="Arial"/>
          <w:bCs/>
          <w:lang w:val="en-GB"/>
        </w:rPr>
        <w:t>sebanyak</w:t>
      </w:r>
      <w:proofErr w:type="spellEnd"/>
      <w:r w:rsidRPr="004062FD">
        <w:rPr>
          <w:rFonts w:ascii="Arial" w:hAnsi="Arial" w:cs="Arial"/>
          <w:bCs/>
          <w:lang w:val="en-GB"/>
        </w:rPr>
        <w:t xml:space="preserve"> 24.3% </w:t>
      </w:r>
      <w:proofErr w:type="spellStart"/>
      <w:r w:rsidRPr="004062FD">
        <w:rPr>
          <w:rFonts w:ascii="Arial" w:hAnsi="Arial" w:cs="Arial"/>
          <w:bCs/>
          <w:lang w:val="en-GB"/>
        </w:rPr>
        <w:t>kepada</w:t>
      </w:r>
      <w:proofErr w:type="spellEnd"/>
      <w:r w:rsidRPr="004062FD">
        <w:rPr>
          <w:rFonts w:ascii="Arial" w:hAnsi="Arial" w:cs="Arial"/>
          <w:bCs/>
          <w:lang w:val="en-GB"/>
        </w:rPr>
        <w:t xml:space="preserve"> 36,979 unit,</w:t>
      </w:r>
      <w:r w:rsidR="002C2CD8" w:rsidRPr="004062FD">
        <w:rPr>
          <w:rFonts w:ascii="Arial" w:hAnsi="Arial" w:cs="Arial"/>
          <w:bCs/>
          <w:lang w:val="en-GB"/>
        </w:rPr>
        <w:t xml:space="preserve"> </w:t>
      </w:r>
      <w:proofErr w:type="spellStart"/>
      <w:r w:rsidR="006F57D3" w:rsidRPr="004062FD">
        <w:rPr>
          <w:rFonts w:ascii="Arial" w:hAnsi="Arial" w:cs="Arial"/>
          <w:bCs/>
          <w:lang w:val="en-GB"/>
        </w:rPr>
        <w:t>Siap</w:t>
      </w:r>
      <w:proofErr w:type="spellEnd"/>
      <w:r w:rsidR="006F57D3" w:rsidRPr="004062FD">
        <w:rPr>
          <w:rFonts w:ascii="Arial" w:hAnsi="Arial" w:cs="Arial"/>
          <w:bCs/>
          <w:lang w:val="en-GB"/>
        </w:rPr>
        <w:t xml:space="preserve"> </w:t>
      </w:r>
      <w:proofErr w:type="spellStart"/>
      <w:r w:rsidR="006F57D3" w:rsidRPr="004062FD">
        <w:rPr>
          <w:rFonts w:ascii="Arial" w:hAnsi="Arial" w:cs="Arial"/>
          <w:bCs/>
          <w:lang w:val="en-GB"/>
        </w:rPr>
        <w:t>Dibina</w:t>
      </w:r>
      <w:proofErr w:type="spellEnd"/>
      <w:r w:rsidR="006F57D3" w:rsidRPr="004062FD">
        <w:rPr>
          <w:rFonts w:ascii="Arial" w:hAnsi="Arial" w:cs="Arial"/>
          <w:bCs/>
          <w:lang w:val="en-GB"/>
        </w:rPr>
        <w:t xml:space="preserve"> </w:t>
      </w:r>
      <w:r w:rsidR="002C2CD8" w:rsidRPr="004062FD">
        <w:rPr>
          <w:rFonts w:ascii="Arial" w:hAnsi="Arial" w:cs="Arial"/>
          <w:bCs/>
          <w:lang w:val="en-GB"/>
        </w:rPr>
        <w:t>dan</w:t>
      </w:r>
      <w:r w:rsidRPr="004062FD">
        <w:rPr>
          <w:rFonts w:ascii="Arial" w:hAnsi="Arial" w:cs="Arial"/>
          <w:bCs/>
          <w:lang w:val="en-GB"/>
        </w:rPr>
        <w:t xml:space="preserve"> </w:t>
      </w:r>
      <w:proofErr w:type="spellStart"/>
      <w:r w:rsidR="006F57D3" w:rsidRPr="004062FD">
        <w:rPr>
          <w:rFonts w:ascii="Arial" w:hAnsi="Arial" w:cs="Arial"/>
          <w:bCs/>
          <w:lang w:val="en-GB"/>
        </w:rPr>
        <w:t>Penawaran</w:t>
      </w:r>
      <w:proofErr w:type="spellEnd"/>
      <w:r w:rsidR="006F57D3" w:rsidRPr="004062FD">
        <w:rPr>
          <w:rFonts w:ascii="Arial" w:hAnsi="Arial" w:cs="Arial"/>
          <w:bCs/>
          <w:lang w:val="en-GB"/>
        </w:rPr>
        <w:t xml:space="preserve"> </w:t>
      </w:r>
      <w:proofErr w:type="spellStart"/>
      <w:r w:rsidR="006F57D3" w:rsidRPr="004062FD">
        <w:rPr>
          <w:rFonts w:ascii="Arial" w:hAnsi="Arial" w:cs="Arial"/>
          <w:bCs/>
          <w:lang w:val="en-GB"/>
        </w:rPr>
        <w:t>Baru</w:t>
      </w:r>
      <w:proofErr w:type="spellEnd"/>
      <w:r w:rsidR="006F57D3" w:rsidRPr="004062FD">
        <w:rPr>
          <w:rFonts w:ascii="Arial" w:hAnsi="Arial" w:cs="Arial"/>
          <w:bCs/>
          <w:lang w:val="en-GB"/>
        </w:rPr>
        <w:t xml:space="preserve"> </w:t>
      </w:r>
      <w:proofErr w:type="spellStart"/>
      <w:r w:rsidR="006F57D3" w:rsidRPr="004062FD">
        <w:rPr>
          <w:rFonts w:ascii="Arial" w:hAnsi="Arial" w:cs="Arial"/>
          <w:bCs/>
          <w:lang w:val="en-GB"/>
        </w:rPr>
        <w:t>Dirancang</w:t>
      </w:r>
      <w:proofErr w:type="spellEnd"/>
      <w:r w:rsidR="006F57D3" w:rsidRPr="004062FD">
        <w:rPr>
          <w:rFonts w:ascii="Arial" w:hAnsi="Arial" w:cs="Arial"/>
          <w:bCs/>
          <w:lang w:val="en-GB"/>
        </w:rPr>
        <w:t xml:space="preserve"> </w:t>
      </w:r>
      <w:r w:rsidRPr="004062FD">
        <w:rPr>
          <w:rFonts w:ascii="Arial" w:hAnsi="Arial" w:cs="Arial"/>
          <w:bCs/>
          <w:lang w:val="en-GB"/>
        </w:rPr>
        <w:t xml:space="preserve">masing-masing </w:t>
      </w:r>
      <w:proofErr w:type="spellStart"/>
      <w:r w:rsidRPr="004062FD">
        <w:rPr>
          <w:rFonts w:ascii="Arial" w:hAnsi="Arial" w:cs="Arial"/>
          <w:bCs/>
          <w:lang w:val="en-GB"/>
        </w:rPr>
        <w:t>berkurangan</w:t>
      </w:r>
      <w:proofErr w:type="spellEnd"/>
      <w:r w:rsidRPr="004062FD">
        <w:rPr>
          <w:rFonts w:ascii="Arial" w:hAnsi="Arial" w:cs="Arial"/>
          <w:bCs/>
          <w:lang w:val="en-GB"/>
        </w:rPr>
        <w:t xml:space="preserve"> </w:t>
      </w:r>
      <w:r w:rsidR="00D40593" w:rsidRPr="004062FD">
        <w:rPr>
          <w:rFonts w:ascii="Arial" w:hAnsi="Arial" w:cs="Arial"/>
          <w:bCs/>
          <w:lang w:val="en-GB"/>
        </w:rPr>
        <w:t xml:space="preserve">pada </w:t>
      </w:r>
      <w:r w:rsidRPr="004062FD">
        <w:rPr>
          <w:rFonts w:ascii="Arial" w:hAnsi="Arial" w:cs="Arial"/>
          <w:bCs/>
          <w:lang w:val="en-GB"/>
        </w:rPr>
        <w:t>28.6% (12,213 unit) dan 40.1% (12,820 unit).</w:t>
      </w:r>
      <w:r w:rsidR="008D55F2" w:rsidRPr="004062FD">
        <w:rPr>
          <w:rFonts w:ascii="Arial" w:hAnsi="Arial" w:cs="Arial"/>
          <w:bCs/>
          <w:lang w:val="en-GB"/>
        </w:rPr>
        <w:t xml:space="preserve"> </w:t>
      </w:r>
    </w:p>
    <w:p w14:paraId="0F07A082" w14:textId="77777777" w:rsidR="008D55F2" w:rsidRPr="004062FD" w:rsidRDefault="008D55F2" w:rsidP="008D55F2">
      <w:pPr>
        <w:pStyle w:val="ListParagraph"/>
        <w:spacing w:line="360" w:lineRule="auto"/>
        <w:ind w:left="450"/>
        <w:jc w:val="both"/>
        <w:rPr>
          <w:rFonts w:ascii="Arial" w:hAnsi="Arial" w:cs="Arial"/>
          <w:color w:val="FF0000"/>
          <w:lang w:val="ms-MY"/>
        </w:rPr>
      </w:pPr>
    </w:p>
    <w:p w14:paraId="04CC2809" w14:textId="09FE9D47" w:rsidR="008D55F2" w:rsidRPr="004062FD" w:rsidRDefault="000D39C8" w:rsidP="008D55F2">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lang w:val="ms-MY"/>
        </w:rPr>
        <w:lastRenderedPageBreak/>
        <w:t xml:space="preserve">Prestasi keseluruhan kompleks beli-belah terus </w:t>
      </w:r>
      <w:r w:rsidR="00D40593" w:rsidRPr="004062FD">
        <w:rPr>
          <w:rFonts w:ascii="Arial" w:hAnsi="Arial" w:cs="Arial"/>
          <w:lang w:val="ms-MY"/>
        </w:rPr>
        <w:t>perlahan</w:t>
      </w:r>
      <w:r w:rsidRPr="004062FD">
        <w:rPr>
          <w:rFonts w:ascii="Arial" w:hAnsi="Arial" w:cs="Arial"/>
          <w:lang w:val="ms-MY"/>
        </w:rPr>
        <w:t xml:space="preserve">, </w:t>
      </w:r>
      <w:r w:rsidR="00D40593" w:rsidRPr="004062FD">
        <w:rPr>
          <w:rFonts w:ascii="Arial" w:hAnsi="Arial" w:cs="Arial"/>
          <w:lang w:val="ms-MY"/>
        </w:rPr>
        <w:t xml:space="preserve">merekodkan </w:t>
      </w:r>
      <w:r w:rsidRPr="004062FD">
        <w:rPr>
          <w:rFonts w:ascii="Arial" w:hAnsi="Arial" w:cs="Arial"/>
          <w:lang w:val="ms-MY"/>
        </w:rPr>
        <w:t xml:space="preserve">kadar penghunian </w:t>
      </w:r>
      <w:r w:rsidR="00D40593" w:rsidRPr="004062FD">
        <w:rPr>
          <w:rFonts w:ascii="Arial" w:hAnsi="Arial" w:cs="Arial"/>
          <w:lang w:val="ms-MY"/>
        </w:rPr>
        <w:t>pada</w:t>
      </w:r>
      <w:r w:rsidRPr="004062FD">
        <w:rPr>
          <w:rFonts w:ascii="Arial" w:hAnsi="Arial" w:cs="Arial"/>
          <w:lang w:val="ms-MY"/>
        </w:rPr>
        <w:t xml:space="preserve"> 76.3%, turun daripada 77.5% pada 2020. </w:t>
      </w:r>
      <w:r w:rsidR="002C2CD8" w:rsidRPr="004062FD">
        <w:rPr>
          <w:rFonts w:ascii="Arial" w:hAnsi="Arial" w:cs="Arial"/>
          <w:lang w:val="ms-MY"/>
        </w:rPr>
        <w:t>WP</w:t>
      </w:r>
      <w:r w:rsidRPr="004062FD">
        <w:rPr>
          <w:rFonts w:ascii="Arial" w:hAnsi="Arial" w:cs="Arial"/>
          <w:lang w:val="ms-MY"/>
        </w:rPr>
        <w:t xml:space="preserve"> Kuala Lumpur dan Selangor masing-masing me</w:t>
      </w:r>
      <w:r w:rsidR="00D40593" w:rsidRPr="004062FD">
        <w:rPr>
          <w:rFonts w:ascii="Arial" w:hAnsi="Arial" w:cs="Arial"/>
          <w:lang w:val="ms-MY"/>
        </w:rPr>
        <w:t xml:space="preserve">rekodkan </w:t>
      </w:r>
      <w:r w:rsidRPr="004062FD">
        <w:rPr>
          <w:rFonts w:ascii="Arial" w:hAnsi="Arial" w:cs="Arial"/>
          <w:lang w:val="ms-MY"/>
        </w:rPr>
        <w:t xml:space="preserve">kadar penghunian </w:t>
      </w:r>
      <w:r w:rsidR="00C26FFD" w:rsidRPr="004062FD">
        <w:rPr>
          <w:rFonts w:ascii="Arial" w:hAnsi="Arial" w:cs="Arial"/>
          <w:lang w:val="ms-MY"/>
        </w:rPr>
        <w:t>79.</w:t>
      </w:r>
      <w:r w:rsidRPr="004062FD">
        <w:rPr>
          <w:rFonts w:ascii="Arial" w:hAnsi="Arial" w:cs="Arial"/>
          <w:lang w:val="ms-MY"/>
        </w:rPr>
        <w:t xml:space="preserve">8% dan 80.7%, manakala Johor dan Pulau Pinang berjaya mencapai purata penghunian masing-masing </w:t>
      </w:r>
      <w:r w:rsidR="00D40593" w:rsidRPr="004062FD">
        <w:rPr>
          <w:rFonts w:ascii="Arial" w:hAnsi="Arial" w:cs="Arial"/>
          <w:lang w:val="ms-MY"/>
        </w:rPr>
        <w:t>pada</w:t>
      </w:r>
      <w:r w:rsidRPr="004062FD">
        <w:rPr>
          <w:rFonts w:ascii="Arial" w:hAnsi="Arial" w:cs="Arial"/>
          <w:lang w:val="ms-MY"/>
        </w:rPr>
        <w:t xml:space="preserve"> 73.0% dan 70.9%. Melaka dan Negeri Sembilan men</w:t>
      </w:r>
      <w:r w:rsidR="00D40593" w:rsidRPr="004062FD">
        <w:rPr>
          <w:rFonts w:ascii="Arial" w:hAnsi="Arial" w:cs="Arial"/>
          <w:lang w:val="ms-MY"/>
        </w:rPr>
        <w:t xml:space="preserve">rekod </w:t>
      </w:r>
      <w:r w:rsidRPr="004062FD">
        <w:rPr>
          <w:rFonts w:ascii="Arial" w:hAnsi="Arial" w:cs="Arial"/>
          <w:lang w:val="ms-MY"/>
        </w:rPr>
        <w:t xml:space="preserve">antara kadar penghunian terendah </w:t>
      </w:r>
      <w:r w:rsidR="00D40593" w:rsidRPr="004062FD">
        <w:rPr>
          <w:rFonts w:ascii="Arial" w:hAnsi="Arial" w:cs="Arial"/>
          <w:lang w:val="ms-MY"/>
        </w:rPr>
        <w:t>dalam negara</w:t>
      </w:r>
      <w:r w:rsidRPr="004062FD">
        <w:rPr>
          <w:rFonts w:ascii="Arial" w:hAnsi="Arial" w:cs="Arial"/>
          <w:lang w:val="ms-MY"/>
        </w:rPr>
        <w:t>, masing-masing pada 63.8% dan 66.8%.</w:t>
      </w:r>
    </w:p>
    <w:p w14:paraId="5D8E3626" w14:textId="77777777" w:rsidR="008D55F2" w:rsidRPr="004062FD" w:rsidRDefault="008D55F2" w:rsidP="008D55F2">
      <w:pPr>
        <w:pStyle w:val="ListParagraph"/>
        <w:spacing w:line="360" w:lineRule="auto"/>
        <w:ind w:left="450"/>
        <w:jc w:val="both"/>
        <w:rPr>
          <w:rFonts w:ascii="Arial" w:hAnsi="Arial" w:cs="Arial"/>
          <w:color w:val="FF0000"/>
          <w:lang w:val="ms-MY"/>
        </w:rPr>
      </w:pPr>
    </w:p>
    <w:p w14:paraId="67DA53F0" w14:textId="5643DBFB" w:rsidR="008D55F2" w:rsidRPr="004062FD" w:rsidRDefault="000D39C8" w:rsidP="008D55F2">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lang w:val="ms-MY"/>
        </w:rPr>
        <w:t>Dua belas kompleks ba</w:t>
      </w:r>
      <w:r w:rsidR="00E154D7">
        <w:rPr>
          <w:rFonts w:ascii="Arial" w:hAnsi="Arial" w:cs="Arial"/>
          <w:lang w:val="ms-MY"/>
        </w:rPr>
        <w:t>ha</w:t>
      </w:r>
      <w:r w:rsidRPr="004062FD">
        <w:rPr>
          <w:rFonts w:ascii="Arial" w:hAnsi="Arial" w:cs="Arial"/>
          <w:lang w:val="ms-MY"/>
        </w:rPr>
        <w:t xml:space="preserve">ru telah </w:t>
      </w:r>
      <w:r w:rsidR="00D40593" w:rsidRPr="004062FD">
        <w:rPr>
          <w:rFonts w:ascii="Arial" w:hAnsi="Arial" w:cs="Arial"/>
          <w:lang w:val="ms-MY"/>
        </w:rPr>
        <w:t xml:space="preserve">siap dalam </w:t>
      </w:r>
      <w:r w:rsidRPr="004062FD">
        <w:rPr>
          <w:rFonts w:ascii="Arial" w:hAnsi="Arial" w:cs="Arial"/>
          <w:lang w:val="ms-MY"/>
        </w:rPr>
        <w:t>tempoh kajian, m</w:t>
      </w:r>
      <w:r w:rsidR="00CF634B" w:rsidRPr="004062FD">
        <w:rPr>
          <w:rFonts w:ascii="Arial" w:hAnsi="Arial" w:cs="Arial"/>
          <w:lang w:val="ms-MY"/>
        </w:rPr>
        <w:t>en</w:t>
      </w:r>
      <w:r w:rsidR="00D40593" w:rsidRPr="004062FD">
        <w:rPr>
          <w:rFonts w:ascii="Arial" w:hAnsi="Arial" w:cs="Arial"/>
          <w:lang w:val="ms-MY"/>
        </w:rPr>
        <w:t xml:space="preserve">ambah </w:t>
      </w:r>
      <w:r w:rsidRPr="004062FD">
        <w:rPr>
          <w:rFonts w:ascii="Arial" w:hAnsi="Arial" w:cs="Arial"/>
          <w:lang w:val="ms-MY"/>
        </w:rPr>
        <w:t>hampir 440,000 m.</w:t>
      </w:r>
      <w:r w:rsidR="006C1298" w:rsidRPr="004062FD">
        <w:rPr>
          <w:rFonts w:ascii="Arial" w:hAnsi="Arial" w:cs="Arial"/>
          <w:lang w:val="ms-MY"/>
        </w:rPr>
        <w:t>p.</w:t>
      </w:r>
      <w:r w:rsidRPr="004062FD">
        <w:rPr>
          <w:rFonts w:ascii="Arial" w:hAnsi="Arial" w:cs="Arial"/>
          <w:lang w:val="ms-MY"/>
        </w:rPr>
        <w:t xml:space="preserve"> ruang </w:t>
      </w:r>
      <w:r w:rsidR="00C26FFD" w:rsidRPr="004062FD">
        <w:rPr>
          <w:rFonts w:ascii="Arial" w:hAnsi="Arial" w:cs="Arial"/>
          <w:lang w:val="ms-MY"/>
        </w:rPr>
        <w:t>niaga</w:t>
      </w:r>
      <w:r w:rsidR="00CF634B" w:rsidRPr="004062FD">
        <w:rPr>
          <w:rFonts w:ascii="Arial" w:hAnsi="Arial" w:cs="Arial"/>
          <w:lang w:val="ms-MY"/>
        </w:rPr>
        <w:t xml:space="preserve"> </w:t>
      </w:r>
      <w:r w:rsidRPr="004062FD">
        <w:rPr>
          <w:rFonts w:ascii="Arial" w:hAnsi="Arial" w:cs="Arial"/>
          <w:lang w:val="ms-MY"/>
        </w:rPr>
        <w:t xml:space="preserve">ke dalam pasaran, menjadikan jumlah ruang </w:t>
      </w:r>
      <w:r w:rsidR="00D40593" w:rsidRPr="004062FD">
        <w:rPr>
          <w:rFonts w:ascii="Arial" w:hAnsi="Arial" w:cs="Arial"/>
          <w:lang w:val="ms-MY"/>
        </w:rPr>
        <w:t xml:space="preserve">keseluruhan </w:t>
      </w:r>
      <w:r w:rsidRPr="004062FD">
        <w:rPr>
          <w:rFonts w:ascii="Arial" w:hAnsi="Arial" w:cs="Arial"/>
          <w:lang w:val="ms-MY"/>
        </w:rPr>
        <w:t xml:space="preserve">kompleks beli-belah </w:t>
      </w:r>
      <w:r w:rsidR="00D40593" w:rsidRPr="004062FD">
        <w:rPr>
          <w:rFonts w:ascii="Arial" w:hAnsi="Arial" w:cs="Arial"/>
          <w:lang w:val="ms-MY"/>
        </w:rPr>
        <w:t>dalam</w:t>
      </w:r>
      <w:r w:rsidRPr="004062FD">
        <w:rPr>
          <w:rFonts w:ascii="Arial" w:hAnsi="Arial" w:cs="Arial"/>
          <w:lang w:val="ms-MY"/>
        </w:rPr>
        <w:t xml:space="preserve"> negara kepada 17.28 juta meter persegi. Terdapat 43 lagi kompleks (1.71 juta m.</w:t>
      </w:r>
      <w:r w:rsidR="00F96866" w:rsidRPr="004062FD">
        <w:rPr>
          <w:rFonts w:ascii="Arial" w:hAnsi="Arial" w:cs="Arial"/>
          <w:lang w:val="ms-MY"/>
        </w:rPr>
        <w:t>p.</w:t>
      </w:r>
      <w:r w:rsidRPr="004062FD">
        <w:rPr>
          <w:rFonts w:ascii="Arial" w:hAnsi="Arial" w:cs="Arial"/>
          <w:lang w:val="ms-MY"/>
        </w:rPr>
        <w:t xml:space="preserve">) </w:t>
      </w:r>
      <w:r w:rsidR="00D40593" w:rsidRPr="004062FD">
        <w:rPr>
          <w:rFonts w:ascii="Arial" w:hAnsi="Arial" w:cs="Arial"/>
          <w:lang w:val="ms-MY"/>
        </w:rPr>
        <w:t xml:space="preserve"> masih di </w:t>
      </w:r>
      <w:r w:rsidRPr="004062FD">
        <w:rPr>
          <w:rFonts w:ascii="Arial" w:hAnsi="Arial" w:cs="Arial"/>
          <w:lang w:val="ms-MY"/>
        </w:rPr>
        <w:t xml:space="preserve">dalam </w:t>
      </w:r>
      <w:r w:rsidR="00BC7A8D">
        <w:rPr>
          <w:rFonts w:ascii="Arial" w:hAnsi="Arial" w:cs="Arial"/>
          <w:lang w:val="ms-MY"/>
        </w:rPr>
        <w:t>P</w:t>
      </w:r>
      <w:r w:rsidR="00CF634B" w:rsidRPr="004062FD">
        <w:rPr>
          <w:rFonts w:ascii="Arial" w:hAnsi="Arial" w:cs="Arial"/>
          <w:lang w:val="ms-MY"/>
        </w:rPr>
        <w:t xml:space="preserve">enawaran </w:t>
      </w:r>
      <w:r w:rsidR="00BC7A8D">
        <w:rPr>
          <w:rFonts w:ascii="Arial" w:hAnsi="Arial" w:cs="Arial"/>
          <w:lang w:val="ms-MY"/>
        </w:rPr>
        <w:t>A</w:t>
      </w:r>
      <w:r w:rsidRPr="004062FD">
        <w:rPr>
          <w:rFonts w:ascii="Arial" w:hAnsi="Arial" w:cs="Arial"/>
          <w:lang w:val="ms-MY"/>
        </w:rPr>
        <w:t xml:space="preserve">kan </w:t>
      </w:r>
      <w:r w:rsidR="00BC7A8D">
        <w:rPr>
          <w:rFonts w:ascii="Arial" w:hAnsi="Arial" w:cs="Arial"/>
          <w:lang w:val="ms-MY"/>
        </w:rPr>
        <w:t>D</w:t>
      </w:r>
      <w:r w:rsidR="009B0E0F">
        <w:rPr>
          <w:rFonts w:ascii="Arial" w:hAnsi="Arial" w:cs="Arial"/>
          <w:lang w:val="ms-MY"/>
        </w:rPr>
        <w:t>atang dan 11 lagi kompleks (0.37</w:t>
      </w:r>
      <w:r w:rsidRPr="004062FD">
        <w:rPr>
          <w:rFonts w:ascii="Arial" w:hAnsi="Arial" w:cs="Arial"/>
          <w:lang w:val="ms-MY"/>
        </w:rPr>
        <w:t xml:space="preserve"> juta m.</w:t>
      </w:r>
      <w:r w:rsidR="00C26FFD" w:rsidRPr="004062FD">
        <w:rPr>
          <w:rFonts w:ascii="Arial" w:hAnsi="Arial" w:cs="Arial"/>
          <w:lang w:val="ms-MY"/>
        </w:rPr>
        <w:t>p.</w:t>
      </w:r>
      <w:r w:rsidRPr="004062FD">
        <w:rPr>
          <w:rFonts w:ascii="Arial" w:hAnsi="Arial" w:cs="Arial"/>
          <w:lang w:val="ms-MY"/>
        </w:rPr>
        <w:t xml:space="preserve">) dalam </w:t>
      </w:r>
      <w:r w:rsidR="00BC7A8D">
        <w:rPr>
          <w:rFonts w:ascii="Arial" w:hAnsi="Arial" w:cs="Arial"/>
          <w:lang w:val="ms-MY"/>
        </w:rPr>
        <w:t>P</w:t>
      </w:r>
      <w:r w:rsidR="00CF634B" w:rsidRPr="004062FD">
        <w:rPr>
          <w:rFonts w:ascii="Arial" w:hAnsi="Arial" w:cs="Arial"/>
          <w:lang w:val="ms-MY"/>
        </w:rPr>
        <w:t>enawaran</w:t>
      </w:r>
      <w:r w:rsidRPr="004062FD">
        <w:rPr>
          <w:rFonts w:ascii="Arial" w:hAnsi="Arial" w:cs="Arial"/>
          <w:lang w:val="ms-MY"/>
        </w:rPr>
        <w:t xml:space="preserve"> </w:t>
      </w:r>
      <w:r w:rsidR="00BC7A8D">
        <w:rPr>
          <w:rFonts w:ascii="Arial" w:hAnsi="Arial" w:cs="Arial"/>
          <w:lang w:val="ms-MY"/>
        </w:rPr>
        <w:t>D</w:t>
      </w:r>
      <w:r w:rsidRPr="004062FD">
        <w:rPr>
          <w:rFonts w:ascii="Arial" w:hAnsi="Arial" w:cs="Arial"/>
          <w:lang w:val="ms-MY"/>
        </w:rPr>
        <w:t>irancang.</w:t>
      </w:r>
    </w:p>
    <w:p w14:paraId="675B92D5" w14:textId="77777777" w:rsidR="008D55F2" w:rsidRPr="004062FD" w:rsidRDefault="008D55F2" w:rsidP="008D55F2">
      <w:pPr>
        <w:pStyle w:val="ListParagraph"/>
        <w:spacing w:line="360" w:lineRule="auto"/>
        <w:ind w:left="450"/>
        <w:jc w:val="both"/>
        <w:rPr>
          <w:rFonts w:ascii="Arial" w:hAnsi="Arial" w:cs="Arial"/>
          <w:color w:val="FF0000"/>
          <w:lang w:val="ms-MY"/>
        </w:rPr>
      </w:pPr>
    </w:p>
    <w:p w14:paraId="3154CECD" w14:textId="4E37655B" w:rsidR="008D55F2" w:rsidRPr="004062FD" w:rsidRDefault="000D39C8" w:rsidP="008D55F2">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lang w:val="ms-MY"/>
        </w:rPr>
        <w:t xml:space="preserve">Prestasi keseluruhan pejabat </w:t>
      </w:r>
      <w:r w:rsidR="00CF634B" w:rsidRPr="004062FD">
        <w:rPr>
          <w:rFonts w:ascii="Arial" w:hAnsi="Arial" w:cs="Arial"/>
          <w:lang w:val="ms-MY"/>
        </w:rPr>
        <w:t>bina</w:t>
      </w:r>
      <w:r w:rsidRPr="004062FD">
        <w:rPr>
          <w:rFonts w:ascii="Arial" w:hAnsi="Arial" w:cs="Arial"/>
          <w:lang w:val="ms-MY"/>
        </w:rPr>
        <w:t>a</w:t>
      </w:r>
      <w:r w:rsidR="00CF634B" w:rsidRPr="004062FD">
        <w:rPr>
          <w:rFonts w:ascii="Arial" w:hAnsi="Arial" w:cs="Arial"/>
          <w:lang w:val="ms-MY"/>
        </w:rPr>
        <w:t>n</w:t>
      </w:r>
      <w:r w:rsidRPr="004062FD">
        <w:rPr>
          <w:rFonts w:ascii="Arial" w:hAnsi="Arial" w:cs="Arial"/>
          <w:lang w:val="ms-MY"/>
        </w:rPr>
        <w:t xml:space="preserve"> khas m</w:t>
      </w:r>
      <w:r w:rsidR="00AD3D54" w:rsidRPr="004062FD">
        <w:rPr>
          <w:rFonts w:ascii="Arial" w:hAnsi="Arial" w:cs="Arial"/>
          <w:lang w:val="ms-MY"/>
        </w:rPr>
        <w:t xml:space="preserve">enurun </w:t>
      </w:r>
      <w:r w:rsidRPr="004062FD">
        <w:rPr>
          <w:rFonts w:ascii="Arial" w:hAnsi="Arial" w:cs="Arial"/>
          <w:lang w:val="ms-MY"/>
        </w:rPr>
        <w:t>kepada 78.3% pada 2021, turun daripada 80.2% pada 2020. Kadar penghunian bangunan pejabat persendirian terus menurun kepada 71.5% daripada 73.9% yang di</w:t>
      </w:r>
      <w:r w:rsidR="00AD3D54" w:rsidRPr="004062FD">
        <w:rPr>
          <w:rFonts w:ascii="Arial" w:hAnsi="Arial" w:cs="Arial"/>
          <w:lang w:val="ms-MY"/>
        </w:rPr>
        <w:t>rekodkan</w:t>
      </w:r>
      <w:r w:rsidRPr="004062FD">
        <w:rPr>
          <w:rFonts w:ascii="Arial" w:hAnsi="Arial" w:cs="Arial"/>
          <w:lang w:val="ms-MY"/>
        </w:rPr>
        <w:t xml:space="preserve"> pada 2020. </w:t>
      </w:r>
      <w:r w:rsidR="00CF634B" w:rsidRPr="004062FD">
        <w:rPr>
          <w:rFonts w:ascii="Arial" w:hAnsi="Arial" w:cs="Arial"/>
          <w:lang w:val="ms-MY"/>
        </w:rPr>
        <w:t xml:space="preserve">WP </w:t>
      </w:r>
      <w:r w:rsidRPr="004062FD">
        <w:rPr>
          <w:rFonts w:ascii="Arial" w:hAnsi="Arial" w:cs="Arial"/>
          <w:lang w:val="ms-MY"/>
        </w:rPr>
        <w:t>Kuala Lumpur dan Pulau Pinang me</w:t>
      </w:r>
      <w:r w:rsidR="00AD3D54" w:rsidRPr="004062FD">
        <w:rPr>
          <w:rFonts w:ascii="Arial" w:hAnsi="Arial" w:cs="Arial"/>
          <w:lang w:val="ms-MY"/>
        </w:rPr>
        <w:t xml:space="preserve">rekodkan </w:t>
      </w:r>
      <w:r w:rsidRPr="004062FD">
        <w:rPr>
          <w:rFonts w:ascii="Arial" w:hAnsi="Arial" w:cs="Arial"/>
          <w:lang w:val="ms-MY"/>
        </w:rPr>
        <w:t>kadar penghunian masing-masing pada 71.8% dan 80.6%, manakala Selangor dan Johor</w:t>
      </w:r>
      <w:r w:rsidR="006C1298" w:rsidRPr="004062FD">
        <w:rPr>
          <w:rFonts w:ascii="Arial" w:hAnsi="Arial" w:cs="Arial"/>
          <w:lang w:val="ms-MY"/>
        </w:rPr>
        <w:t xml:space="preserve"> masing-masing</w:t>
      </w:r>
      <w:r w:rsidRPr="004062FD">
        <w:rPr>
          <w:rFonts w:ascii="Arial" w:hAnsi="Arial" w:cs="Arial"/>
          <w:lang w:val="ms-MY"/>
        </w:rPr>
        <w:t xml:space="preserve"> menyaksikan</w:t>
      </w:r>
      <w:r w:rsidR="006C1298" w:rsidRPr="004062FD">
        <w:rPr>
          <w:rFonts w:ascii="Arial" w:hAnsi="Arial" w:cs="Arial"/>
          <w:lang w:val="ms-MY"/>
        </w:rPr>
        <w:t xml:space="preserve"> penghunian</w:t>
      </w:r>
      <w:r w:rsidRPr="004062FD">
        <w:rPr>
          <w:rFonts w:ascii="Arial" w:hAnsi="Arial" w:cs="Arial"/>
          <w:lang w:val="ms-MY"/>
        </w:rPr>
        <w:t xml:space="preserve"> lebih rendah daripada </w:t>
      </w:r>
      <w:r w:rsidR="00AD3D54" w:rsidRPr="004062FD">
        <w:rPr>
          <w:rFonts w:ascii="Arial" w:hAnsi="Arial" w:cs="Arial"/>
          <w:lang w:val="ms-MY"/>
        </w:rPr>
        <w:t>paras</w:t>
      </w:r>
      <w:r w:rsidRPr="004062FD">
        <w:rPr>
          <w:rFonts w:ascii="Arial" w:hAnsi="Arial" w:cs="Arial"/>
          <w:lang w:val="ms-MY"/>
        </w:rPr>
        <w:t xml:space="preserve"> nasional </w:t>
      </w:r>
      <w:r w:rsidR="00AD3D54" w:rsidRPr="004062FD">
        <w:rPr>
          <w:rFonts w:ascii="Arial" w:hAnsi="Arial" w:cs="Arial"/>
          <w:lang w:val="ms-MY"/>
        </w:rPr>
        <w:t xml:space="preserve">iaitu masing-masing </w:t>
      </w:r>
      <w:r w:rsidRPr="004062FD">
        <w:rPr>
          <w:rFonts w:ascii="Arial" w:hAnsi="Arial" w:cs="Arial"/>
          <w:lang w:val="ms-MY"/>
        </w:rPr>
        <w:t xml:space="preserve">67.3% dan 62.4%. Bangunan pejabat </w:t>
      </w:r>
      <w:r w:rsidR="006C1298" w:rsidRPr="004062FD">
        <w:rPr>
          <w:rFonts w:ascii="Arial" w:hAnsi="Arial" w:cs="Arial"/>
          <w:lang w:val="ms-MY"/>
        </w:rPr>
        <w:t>persendirian</w:t>
      </w:r>
      <w:r w:rsidRPr="004062FD">
        <w:rPr>
          <w:rFonts w:ascii="Arial" w:hAnsi="Arial" w:cs="Arial"/>
          <w:lang w:val="ms-MY"/>
        </w:rPr>
        <w:t xml:space="preserve"> di Putrajaya me</w:t>
      </w:r>
      <w:r w:rsidR="00AD3D54" w:rsidRPr="004062FD">
        <w:rPr>
          <w:rFonts w:ascii="Arial" w:hAnsi="Arial" w:cs="Arial"/>
          <w:lang w:val="ms-MY"/>
        </w:rPr>
        <w:t xml:space="preserve">rekodkan </w:t>
      </w:r>
      <w:r w:rsidRPr="004062FD">
        <w:rPr>
          <w:rFonts w:ascii="Arial" w:hAnsi="Arial" w:cs="Arial"/>
          <w:lang w:val="ms-MY"/>
        </w:rPr>
        <w:t xml:space="preserve">kadar penghunian terendah </w:t>
      </w:r>
      <w:r w:rsidR="00AD3D54" w:rsidRPr="004062FD">
        <w:rPr>
          <w:rFonts w:ascii="Arial" w:hAnsi="Arial" w:cs="Arial"/>
          <w:lang w:val="ms-MY"/>
        </w:rPr>
        <w:t>dalam ne</w:t>
      </w:r>
      <w:r w:rsidRPr="004062FD">
        <w:rPr>
          <w:rFonts w:ascii="Arial" w:hAnsi="Arial" w:cs="Arial"/>
          <w:lang w:val="ms-MY"/>
        </w:rPr>
        <w:t xml:space="preserve">gara </w:t>
      </w:r>
      <w:r w:rsidR="00AD3D54" w:rsidRPr="004062FD">
        <w:rPr>
          <w:rFonts w:ascii="Arial" w:hAnsi="Arial" w:cs="Arial"/>
          <w:lang w:val="ms-MY"/>
        </w:rPr>
        <w:t>i</w:t>
      </w:r>
      <w:r w:rsidRPr="004062FD">
        <w:rPr>
          <w:rFonts w:ascii="Arial" w:hAnsi="Arial" w:cs="Arial"/>
          <w:lang w:val="ms-MY"/>
        </w:rPr>
        <w:t>aitu 44.0%.</w:t>
      </w:r>
    </w:p>
    <w:p w14:paraId="7B083972" w14:textId="77777777" w:rsidR="008D55F2" w:rsidRPr="004062FD" w:rsidRDefault="008D55F2" w:rsidP="008D55F2">
      <w:pPr>
        <w:pStyle w:val="ListParagraph"/>
        <w:spacing w:line="360" w:lineRule="auto"/>
        <w:ind w:left="450"/>
        <w:jc w:val="both"/>
        <w:rPr>
          <w:rFonts w:ascii="Arial" w:hAnsi="Arial" w:cs="Arial"/>
          <w:color w:val="FF0000"/>
          <w:lang w:val="ms-MY"/>
        </w:rPr>
      </w:pPr>
    </w:p>
    <w:p w14:paraId="050FB0B0" w14:textId="2CCCEA49" w:rsidR="006A20AD" w:rsidRPr="004062FD" w:rsidRDefault="000D39C8" w:rsidP="006A20AD">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lang w:val="ms-MY"/>
        </w:rPr>
        <w:t xml:space="preserve">Terdapat 13 </w:t>
      </w:r>
      <w:r w:rsidR="006C1298" w:rsidRPr="004062FD">
        <w:rPr>
          <w:rFonts w:ascii="Arial" w:hAnsi="Arial" w:cs="Arial"/>
          <w:lang w:val="ms-MY"/>
        </w:rPr>
        <w:t>bangunan</w:t>
      </w:r>
      <w:r w:rsidR="00AD3D54" w:rsidRPr="004062FD">
        <w:rPr>
          <w:rFonts w:ascii="Arial" w:hAnsi="Arial" w:cs="Arial"/>
          <w:lang w:val="ms-MY"/>
        </w:rPr>
        <w:t xml:space="preserve"> baharu</w:t>
      </w:r>
      <w:r w:rsidR="006C1298" w:rsidRPr="004062FD">
        <w:rPr>
          <w:rFonts w:ascii="Arial" w:hAnsi="Arial" w:cs="Arial"/>
          <w:lang w:val="ms-MY"/>
        </w:rPr>
        <w:t xml:space="preserve"> </w:t>
      </w:r>
      <w:r w:rsidR="00BC7A8D">
        <w:rPr>
          <w:rFonts w:ascii="Arial" w:hAnsi="Arial" w:cs="Arial"/>
          <w:lang w:val="ms-MY"/>
        </w:rPr>
        <w:t>Siap D</w:t>
      </w:r>
      <w:r w:rsidR="006C1298" w:rsidRPr="004062FD">
        <w:rPr>
          <w:rFonts w:ascii="Arial" w:hAnsi="Arial" w:cs="Arial"/>
          <w:lang w:val="ms-MY"/>
        </w:rPr>
        <w:t>ibina</w:t>
      </w:r>
      <w:r w:rsidRPr="004062FD">
        <w:rPr>
          <w:rFonts w:ascii="Arial" w:hAnsi="Arial" w:cs="Arial"/>
          <w:lang w:val="ms-MY"/>
        </w:rPr>
        <w:t xml:space="preserve"> </w:t>
      </w:r>
      <w:r w:rsidR="00AD3D54" w:rsidRPr="004062FD">
        <w:rPr>
          <w:rFonts w:ascii="Arial" w:hAnsi="Arial" w:cs="Arial"/>
          <w:lang w:val="ms-MY"/>
        </w:rPr>
        <w:t xml:space="preserve">dengan </w:t>
      </w:r>
      <w:r w:rsidRPr="004062FD">
        <w:rPr>
          <w:rFonts w:ascii="Arial" w:hAnsi="Arial" w:cs="Arial"/>
          <w:lang w:val="ms-MY"/>
        </w:rPr>
        <w:t xml:space="preserve">menawarkan jumlah ruang pejabat </w:t>
      </w:r>
      <w:r w:rsidR="00AD3D54" w:rsidRPr="004062FD">
        <w:rPr>
          <w:rFonts w:ascii="Arial" w:hAnsi="Arial" w:cs="Arial"/>
          <w:lang w:val="ms-MY"/>
        </w:rPr>
        <w:t xml:space="preserve">pada </w:t>
      </w:r>
      <w:r w:rsidRPr="004062FD">
        <w:rPr>
          <w:rFonts w:ascii="Arial" w:hAnsi="Arial" w:cs="Arial"/>
          <w:lang w:val="ms-MY"/>
        </w:rPr>
        <w:t xml:space="preserve"> </w:t>
      </w:r>
      <w:bookmarkStart w:id="1" w:name="_Hlk98718573"/>
      <w:r w:rsidRPr="004062FD">
        <w:rPr>
          <w:rFonts w:ascii="Arial" w:hAnsi="Arial" w:cs="Arial"/>
          <w:lang w:val="ms-MY"/>
        </w:rPr>
        <w:t>0.6</w:t>
      </w:r>
      <w:r w:rsidR="00521100" w:rsidRPr="004062FD">
        <w:rPr>
          <w:rFonts w:ascii="Arial" w:hAnsi="Arial" w:cs="Arial"/>
          <w:lang w:val="ms-MY"/>
        </w:rPr>
        <w:t>9</w:t>
      </w:r>
      <w:r w:rsidRPr="004062FD">
        <w:rPr>
          <w:rFonts w:ascii="Arial" w:hAnsi="Arial" w:cs="Arial"/>
          <w:lang w:val="ms-MY"/>
        </w:rPr>
        <w:t xml:space="preserve"> </w:t>
      </w:r>
      <w:bookmarkEnd w:id="1"/>
      <w:r w:rsidRPr="004062FD">
        <w:rPr>
          <w:rFonts w:ascii="Arial" w:hAnsi="Arial" w:cs="Arial"/>
          <w:lang w:val="ms-MY"/>
        </w:rPr>
        <w:t xml:space="preserve">juta </w:t>
      </w:r>
      <w:r w:rsidR="006C1298" w:rsidRPr="004062FD">
        <w:rPr>
          <w:rFonts w:ascii="Arial" w:hAnsi="Arial" w:cs="Arial"/>
          <w:lang w:val="ms-MY"/>
        </w:rPr>
        <w:t>m.p</w:t>
      </w:r>
      <w:r w:rsidRPr="004062FD">
        <w:rPr>
          <w:rFonts w:ascii="Arial" w:hAnsi="Arial" w:cs="Arial"/>
          <w:lang w:val="ms-MY"/>
        </w:rPr>
        <w:t>., lebih rendah daripada 2020 (11 penyiapan baharu; 0.45 juta m</w:t>
      </w:r>
      <w:r w:rsidR="006C1298" w:rsidRPr="004062FD">
        <w:rPr>
          <w:rFonts w:ascii="Arial" w:hAnsi="Arial" w:cs="Arial"/>
          <w:lang w:val="ms-MY"/>
        </w:rPr>
        <w:t>.p</w:t>
      </w:r>
      <w:r w:rsidRPr="004062FD">
        <w:rPr>
          <w:rFonts w:ascii="Arial" w:hAnsi="Arial" w:cs="Arial"/>
          <w:lang w:val="ms-MY"/>
        </w:rPr>
        <w:t xml:space="preserve">.). Pada penghujung 2021, terdapat sejumlah </w:t>
      </w:r>
      <w:bookmarkStart w:id="2" w:name="_Hlk98718621"/>
      <w:r w:rsidRPr="004062FD">
        <w:rPr>
          <w:rFonts w:ascii="Arial" w:hAnsi="Arial" w:cs="Arial"/>
          <w:lang w:val="ms-MY"/>
        </w:rPr>
        <w:t>23.9</w:t>
      </w:r>
      <w:r w:rsidR="00521100" w:rsidRPr="004062FD">
        <w:rPr>
          <w:rFonts w:ascii="Arial" w:hAnsi="Arial" w:cs="Arial"/>
          <w:lang w:val="ms-MY"/>
        </w:rPr>
        <w:t>7</w:t>
      </w:r>
      <w:bookmarkEnd w:id="2"/>
      <w:r w:rsidRPr="004062FD">
        <w:rPr>
          <w:rFonts w:ascii="Arial" w:hAnsi="Arial" w:cs="Arial"/>
          <w:lang w:val="ms-MY"/>
        </w:rPr>
        <w:t xml:space="preserve"> juta m</w:t>
      </w:r>
      <w:r w:rsidR="006C1298" w:rsidRPr="004062FD">
        <w:rPr>
          <w:rFonts w:ascii="Arial" w:hAnsi="Arial" w:cs="Arial"/>
          <w:lang w:val="ms-MY"/>
        </w:rPr>
        <w:t>.p</w:t>
      </w:r>
      <w:r w:rsidRPr="004062FD">
        <w:rPr>
          <w:rFonts w:ascii="Arial" w:hAnsi="Arial" w:cs="Arial"/>
          <w:lang w:val="ms-MY"/>
        </w:rPr>
        <w:t>. ruang pejabat</w:t>
      </w:r>
      <w:r w:rsidR="00BC7A8D">
        <w:rPr>
          <w:rFonts w:ascii="Arial" w:hAnsi="Arial" w:cs="Arial"/>
          <w:lang w:val="ms-MY"/>
        </w:rPr>
        <w:t xml:space="preserve"> S</w:t>
      </w:r>
      <w:r w:rsidRPr="004062FD">
        <w:rPr>
          <w:rFonts w:ascii="Arial" w:hAnsi="Arial" w:cs="Arial"/>
          <w:lang w:val="ms-MY"/>
        </w:rPr>
        <w:t xml:space="preserve">edia </w:t>
      </w:r>
      <w:r w:rsidR="00BC7A8D">
        <w:rPr>
          <w:rFonts w:ascii="Arial" w:hAnsi="Arial" w:cs="Arial"/>
          <w:lang w:val="ms-MY"/>
        </w:rPr>
        <w:t>A</w:t>
      </w:r>
      <w:r w:rsidRPr="004062FD">
        <w:rPr>
          <w:rFonts w:ascii="Arial" w:hAnsi="Arial" w:cs="Arial"/>
          <w:lang w:val="ms-MY"/>
        </w:rPr>
        <w:t xml:space="preserve">da sebanyak 2,583 bangunan, manakala </w:t>
      </w:r>
      <w:r w:rsidR="00881515" w:rsidRPr="004062FD">
        <w:rPr>
          <w:rFonts w:ascii="Arial" w:hAnsi="Arial" w:cs="Arial"/>
          <w:lang w:val="en-MY"/>
        </w:rPr>
        <w:t>1.65</w:t>
      </w:r>
      <w:r w:rsidRPr="004062FD">
        <w:rPr>
          <w:rFonts w:ascii="Arial" w:hAnsi="Arial" w:cs="Arial"/>
          <w:lang w:val="ms-MY"/>
        </w:rPr>
        <w:t xml:space="preserve"> juta m.</w:t>
      </w:r>
      <w:r w:rsidR="006C1298" w:rsidRPr="004062FD">
        <w:rPr>
          <w:rFonts w:ascii="Arial" w:hAnsi="Arial" w:cs="Arial"/>
          <w:lang w:val="ms-MY"/>
        </w:rPr>
        <w:t>p.</w:t>
      </w:r>
      <w:r w:rsidRPr="004062FD">
        <w:rPr>
          <w:rFonts w:ascii="Arial" w:hAnsi="Arial" w:cs="Arial"/>
          <w:lang w:val="ms-MY"/>
        </w:rPr>
        <w:t xml:space="preserve"> (44 bangunan) dalam </w:t>
      </w:r>
      <w:r w:rsidR="00BC7A8D">
        <w:rPr>
          <w:rFonts w:ascii="Arial" w:hAnsi="Arial" w:cs="Arial"/>
          <w:lang w:val="ms-MY"/>
        </w:rPr>
        <w:t>P</w:t>
      </w:r>
      <w:r w:rsidR="006C1298" w:rsidRPr="004062FD">
        <w:rPr>
          <w:rFonts w:ascii="Arial" w:hAnsi="Arial" w:cs="Arial"/>
          <w:lang w:val="ms-MY"/>
        </w:rPr>
        <w:t xml:space="preserve">enawaran </w:t>
      </w:r>
      <w:r w:rsidR="00BC7A8D">
        <w:rPr>
          <w:rFonts w:ascii="Arial" w:hAnsi="Arial" w:cs="Arial"/>
          <w:lang w:val="ms-MY"/>
        </w:rPr>
        <w:t>Akan D</w:t>
      </w:r>
      <w:r w:rsidR="006C1298" w:rsidRPr="004062FD">
        <w:rPr>
          <w:rFonts w:ascii="Arial" w:hAnsi="Arial" w:cs="Arial"/>
          <w:lang w:val="ms-MY"/>
        </w:rPr>
        <w:t xml:space="preserve">atang </w:t>
      </w:r>
      <w:r w:rsidRPr="004062FD">
        <w:rPr>
          <w:rFonts w:ascii="Arial" w:hAnsi="Arial" w:cs="Arial"/>
          <w:lang w:val="ms-MY"/>
        </w:rPr>
        <w:t xml:space="preserve">dan hampir </w:t>
      </w:r>
      <w:bookmarkStart w:id="3" w:name="_Hlk98718750"/>
      <w:r w:rsidRPr="004062FD">
        <w:rPr>
          <w:rFonts w:ascii="Arial" w:hAnsi="Arial" w:cs="Arial"/>
          <w:lang w:val="ms-MY"/>
        </w:rPr>
        <w:t>0.2</w:t>
      </w:r>
      <w:r w:rsidR="00881515" w:rsidRPr="004062FD">
        <w:rPr>
          <w:rFonts w:ascii="Arial" w:hAnsi="Arial" w:cs="Arial"/>
          <w:lang w:val="ms-MY"/>
        </w:rPr>
        <w:t>9</w:t>
      </w:r>
      <w:bookmarkEnd w:id="3"/>
      <w:r w:rsidR="00881515" w:rsidRPr="004062FD">
        <w:rPr>
          <w:rFonts w:ascii="Arial" w:hAnsi="Arial" w:cs="Arial"/>
          <w:lang w:val="ms-MY"/>
        </w:rPr>
        <w:t xml:space="preserve"> </w:t>
      </w:r>
      <w:r w:rsidRPr="004062FD">
        <w:rPr>
          <w:rFonts w:ascii="Arial" w:hAnsi="Arial" w:cs="Arial"/>
          <w:lang w:val="ms-MY"/>
        </w:rPr>
        <w:t xml:space="preserve">juta </w:t>
      </w:r>
      <w:r w:rsidR="00F96866" w:rsidRPr="004062FD">
        <w:rPr>
          <w:rFonts w:ascii="Arial" w:hAnsi="Arial" w:cs="Arial"/>
          <w:lang w:val="ms-MY"/>
        </w:rPr>
        <w:t>m.p</w:t>
      </w:r>
      <w:r w:rsidRPr="004062FD">
        <w:rPr>
          <w:rFonts w:ascii="Arial" w:hAnsi="Arial" w:cs="Arial"/>
          <w:lang w:val="ms-MY"/>
        </w:rPr>
        <w:t xml:space="preserve">. (12 bangunan) dalam </w:t>
      </w:r>
      <w:r w:rsidR="00BC7A8D">
        <w:rPr>
          <w:rFonts w:ascii="Arial" w:hAnsi="Arial" w:cs="Arial"/>
          <w:lang w:val="ms-MY"/>
        </w:rPr>
        <w:t>P</w:t>
      </w:r>
      <w:r w:rsidR="00CB3E12" w:rsidRPr="004062FD">
        <w:rPr>
          <w:rFonts w:ascii="Arial" w:hAnsi="Arial" w:cs="Arial"/>
          <w:lang w:val="ms-MY"/>
        </w:rPr>
        <w:t>enawaran</w:t>
      </w:r>
      <w:r w:rsidRPr="004062FD">
        <w:rPr>
          <w:rFonts w:ascii="Arial" w:hAnsi="Arial" w:cs="Arial"/>
          <w:lang w:val="ms-MY"/>
        </w:rPr>
        <w:t xml:space="preserve"> </w:t>
      </w:r>
      <w:r w:rsidR="00BC7A8D">
        <w:rPr>
          <w:rFonts w:ascii="Arial" w:hAnsi="Arial" w:cs="Arial"/>
          <w:lang w:val="ms-MY"/>
        </w:rPr>
        <w:t>D</w:t>
      </w:r>
      <w:r w:rsidRPr="004062FD">
        <w:rPr>
          <w:rFonts w:ascii="Arial" w:hAnsi="Arial" w:cs="Arial"/>
          <w:lang w:val="ms-MY"/>
        </w:rPr>
        <w:t>irancang</w:t>
      </w:r>
      <w:r w:rsidR="006A20AD" w:rsidRPr="004062FD">
        <w:rPr>
          <w:rFonts w:ascii="Arial" w:hAnsi="Arial" w:cs="Arial"/>
          <w:lang w:val="ms-MY"/>
        </w:rPr>
        <w:t>.</w:t>
      </w:r>
    </w:p>
    <w:p w14:paraId="5C32E163" w14:textId="24B998C2" w:rsidR="006A20AD" w:rsidRDefault="006A20AD" w:rsidP="006A20AD">
      <w:pPr>
        <w:tabs>
          <w:tab w:val="left" w:pos="373"/>
        </w:tabs>
        <w:spacing w:after="0" w:line="360" w:lineRule="auto"/>
        <w:ind w:right="-46"/>
        <w:jc w:val="both"/>
        <w:rPr>
          <w:rFonts w:ascii="Arial" w:hAnsi="Arial" w:cs="Arial"/>
          <w:b/>
          <w:bCs/>
          <w:color w:val="00B0F0"/>
          <w:lang w:val="en-MY"/>
        </w:rPr>
      </w:pPr>
    </w:p>
    <w:p w14:paraId="7F261986" w14:textId="77777777" w:rsidR="00BC7A8D" w:rsidRPr="004062FD" w:rsidRDefault="00BC7A8D" w:rsidP="006A20AD">
      <w:pPr>
        <w:tabs>
          <w:tab w:val="left" w:pos="373"/>
        </w:tabs>
        <w:spacing w:after="0" w:line="360" w:lineRule="auto"/>
        <w:ind w:right="-46"/>
        <w:jc w:val="both"/>
        <w:rPr>
          <w:rFonts w:ascii="Arial" w:hAnsi="Arial" w:cs="Arial"/>
          <w:b/>
          <w:bCs/>
          <w:color w:val="00B0F0"/>
          <w:lang w:val="en-MY"/>
        </w:rPr>
      </w:pPr>
    </w:p>
    <w:p w14:paraId="6E2010CC" w14:textId="7F6EE422" w:rsidR="006A20AD" w:rsidRPr="00BC7A8D" w:rsidRDefault="006A20AD" w:rsidP="006A20AD">
      <w:pPr>
        <w:tabs>
          <w:tab w:val="left" w:pos="373"/>
        </w:tabs>
        <w:spacing w:after="0" w:line="360" w:lineRule="auto"/>
        <w:ind w:right="-46"/>
        <w:jc w:val="both"/>
        <w:rPr>
          <w:rFonts w:ascii="Arial" w:hAnsi="Arial" w:cs="Arial"/>
          <w:b/>
          <w:bCs/>
          <w:lang w:val="en-MY"/>
        </w:rPr>
      </w:pPr>
      <w:r w:rsidRPr="00BC7A8D">
        <w:rPr>
          <w:rFonts w:ascii="Arial" w:hAnsi="Arial" w:cs="Arial"/>
          <w:b/>
          <w:bCs/>
          <w:lang w:val="en-MY"/>
        </w:rPr>
        <w:t>RIADAH</w:t>
      </w:r>
    </w:p>
    <w:p w14:paraId="5F314683" w14:textId="77777777" w:rsidR="006A20AD" w:rsidRPr="00BC7A8D" w:rsidRDefault="006A20AD" w:rsidP="006A20AD">
      <w:pPr>
        <w:tabs>
          <w:tab w:val="left" w:pos="373"/>
        </w:tabs>
        <w:spacing w:after="0" w:line="360" w:lineRule="auto"/>
        <w:ind w:right="-46"/>
        <w:jc w:val="both"/>
        <w:rPr>
          <w:rFonts w:ascii="Arial" w:hAnsi="Arial" w:cs="Arial"/>
          <w:b/>
          <w:bCs/>
        </w:rPr>
      </w:pPr>
    </w:p>
    <w:p w14:paraId="006AF8B8" w14:textId="5498CB9F" w:rsidR="006A20AD" w:rsidRPr="00BC7A8D" w:rsidRDefault="006A20AD" w:rsidP="00BC7A8D">
      <w:pPr>
        <w:pStyle w:val="ListParagraph"/>
        <w:numPr>
          <w:ilvl w:val="0"/>
          <w:numId w:val="14"/>
        </w:numPr>
        <w:spacing w:after="0" w:line="360" w:lineRule="auto"/>
        <w:ind w:left="426" w:right="50" w:hanging="426"/>
        <w:jc w:val="both"/>
        <w:rPr>
          <w:rFonts w:ascii="Arial" w:hAnsi="Arial" w:cs="Arial"/>
        </w:rPr>
      </w:pPr>
      <w:proofErr w:type="spellStart"/>
      <w:r w:rsidRPr="00BC7A8D">
        <w:rPr>
          <w:rFonts w:ascii="Arial" w:eastAsia="Arial" w:hAnsi="Arial" w:cs="Arial"/>
          <w:spacing w:val="-1"/>
        </w:rPr>
        <w:t>Sebelas</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transaksi</w:t>
      </w:r>
      <w:proofErr w:type="spellEnd"/>
      <w:r w:rsidRPr="00BC7A8D">
        <w:rPr>
          <w:rFonts w:ascii="Arial" w:eastAsia="Arial" w:hAnsi="Arial" w:cs="Arial"/>
          <w:spacing w:val="-1"/>
        </w:rPr>
        <w:t xml:space="preserve"> hotel </w:t>
      </w:r>
      <w:proofErr w:type="spellStart"/>
      <w:r w:rsidRPr="00BC7A8D">
        <w:rPr>
          <w:rFonts w:ascii="Arial" w:eastAsia="Arial" w:hAnsi="Arial" w:cs="Arial"/>
          <w:spacing w:val="-1"/>
        </w:rPr>
        <w:t>direkodkan</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dalam</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tempoh</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kajian</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dengan</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nilai</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melebihi</w:t>
      </w:r>
      <w:proofErr w:type="spellEnd"/>
      <w:r w:rsidRPr="00BC7A8D">
        <w:rPr>
          <w:rFonts w:ascii="Arial" w:eastAsia="Arial" w:hAnsi="Arial" w:cs="Arial"/>
          <w:spacing w:val="-1"/>
        </w:rPr>
        <w:t xml:space="preserve"> </w:t>
      </w:r>
      <w:r w:rsidRPr="00BC7A8D">
        <w:rPr>
          <w:rFonts w:ascii="Arial" w:eastAsia="Arial" w:hAnsi="Arial" w:cs="Arial"/>
        </w:rPr>
        <w:t>R</w:t>
      </w:r>
      <w:r w:rsidRPr="00BC7A8D">
        <w:rPr>
          <w:rFonts w:ascii="Arial" w:eastAsia="Arial" w:hAnsi="Arial" w:cs="Arial"/>
          <w:spacing w:val="3"/>
        </w:rPr>
        <w:t>M</w:t>
      </w:r>
      <w:r w:rsidRPr="00BC7A8D">
        <w:rPr>
          <w:rFonts w:ascii="Arial" w:eastAsia="Arial" w:hAnsi="Arial" w:cs="Arial"/>
        </w:rPr>
        <w:t>700</w:t>
      </w:r>
      <w:r w:rsidR="00DC6AA0">
        <w:rPr>
          <w:rFonts w:ascii="Arial" w:eastAsia="Arial" w:hAnsi="Arial" w:cs="Arial"/>
        </w:rPr>
        <w:t xml:space="preserve"> </w:t>
      </w:r>
      <w:proofErr w:type="spellStart"/>
      <w:r w:rsidRPr="00BC7A8D">
        <w:rPr>
          <w:rFonts w:ascii="Arial" w:eastAsia="Arial" w:hAnsi="Arial" w:cs="Arial"/>
          <w:spacing w:val="-2"/>
        </w:rPr>
        <w:t>juta</w:t>
      </w:r>
      <w:proofErr w:type="spellEnd"/>
      <w:r w:rsidRPr="00BC7A8D">
        <w:rPr>
          <w:rFonts w:ascii="Arial" w:eastAsia="Arial" w:hAnsi="Arial" w:cs="Arial"/>
        </w:rPr>
        <w:t>.</w:t>
      </w:r>
      <w:r w:rsidRPr="00BC7A8D">
        <w:rPr>
          <w:rFonts w:ascii="Arial" w:eastAsia="Arial" w:hAnsi="Arial" w:cs="Arial"/>
          <w:spacing w:val="-1"/>
        </w:rPr>
        <w:t xml:space="preserve"> </w:t>
      </w:r>
      <w:proofErr w:type="spellStart"/>
      <w:r w:rsidRPr="00BC7A8D">
        <w:rPr>
          <w:rFonts w:ascii="Arial" w:eastAsia="Arial" w:hAnsi="Arial" w:cs="Arial"/>
        </w:rPr>
        <w:t>E</w:t>
      </w:r>
      <w:r w:rsidR="00F71CB8">
        <w:rPr>
          <w:rFonts w:ascii="Arial" w:eastAsia="Arial" w:hAnsi="Arial" w:cs="Arial"/>
        </w:rPr>
        <w:t>nam</w:t>
      </w:r>
      <w:proofErr w:type="spellEnd"/>
      <w:r w:rsidRPr="00BC7A8D">
        <w:rPr>
          <w:rFonts w:ascii="Arial" w:eastAsia="Arial" w:hAnsi="Arial" w:cs="Arial"/>
        </w:rPr>
        <w:t xml:space="preserve"> </w:t>
      </w:r>
      <w:proofErr w:type="spellStart"/>
      <w:r w:rsidRPr="00BC7A8D">
        <w:rPr>
          <w:rFonts w:ascii="Arial" w:eastAsia="Arial" w:hAnsi="Arial" w:cs="Arial"/>
        </w:rPr>
        <w:t>daripadanya</w:t>
      </w:r>
      <w:proofErr w:type="spellEnd"/>
      <w:r w:rsidRPr="00BC7A8D">
        <w:rPr>
          <w:rFonts w:ascii="Arial" w:eastAsia="Arial" w:hAnsi="Arial" w:cs="Arial"/>
        </w:rPr>
        <w:t xml:space="preserve"> </w:t>
      </w:r>
      <w:proofErr w:type="spellStart"/>
      <w:r w:rsidRPr="00BC7A8D">
        <w:rPr>
          <w:rFonts w:ascii="Arial" w:eastAsia="Arial" w:hAnsi="Arial" w:cs="Arial"/>
        </w:rPr>
        <w:t>perjanjian</w:t>
      </w:r>
      <w:proofErr w:type="spellEnd"/>
      <w:r w:rsidRPr="00BC7A8D">
        <w:rPr>
          <w:rFonts w:ascii="Arial" w:eastAsia="Arial" w:hAnsi="Arial" w:cs="Arial"/>
        </w:rPr>
        <w:t xml:space="preserve"> </w:t>
      </w:r>
      <w:proofErr w:type="spellStart"/>
      <w:r w:rsidRPr="00BC7A8D">
        <w:rPr>
          <w:rFonts w:ascii="Arial" w:eastAsia="Arial" w:hAnsi="Arial" w:cs="Arial"/>
        </w:rPr>
        <w:t>jual</w:t>
      </w:r>
      <w:proofErr w:type="spellEnd"/>
      <w:r w:rsidRPr="00BC7A8D">
        <w:rPr>
          <w:rFonts w:ascii="Arial" w:eastAsia="Arial" w:hAnsi="Arial" w:cs="Arial"/>
        </w:rPr>
        <w:t xml:space="preserve"> </w:t>
      </w:r>
      <w:proofErr w:type="spellStart"/>
      <w:r w:rsidRPr="00BC7A8D">
        <w:rPr>
          <w:rFonts w:ascii="Arial" w:eastAsia="Arial" w:hAnsi="Arial" w:cs="Arial"/>
        </w:rPr>
        <w:t>beli</w:t>
      </w:r>
      <w:proofErr w:type="spellEnd"/>
      <w:r w:rsidRPr="00BC7A8D">
        <w:rPr>
          <w:rFonts w:ascii="Arial" w:eastAsia="Arial" w:hAnsi="Arial" w:cs="Arial"/>
        </w:rPr>
        <w:t xml:space="preserve"> yang </w:t>
      </w:r>
      <w:proofErr w:type="spellStart"/>
      <w:r w:rsidRPr="00BC7A8D">
        <w:rPr>
          <w:rFonts w:ascii="Arial" w:eastAsia="Arial" w:hAnsi="Arial" w:cs="Arial"/>
        </w:rPr>
        <w:t>ditandatangan</w:t>
      </w:r>
      <w:proofErr w:type="spellEnd"/>
      <w:r w:rsidRPr="00BC7A8D">
        <w:rPr>
          <w:rFonts w:ascii="Arial" w:eastAsia="Arial" w:hAnsi="Arial" w:cs="Arial"/>
        </w:rPr>
        <w:t xml:space="preserve"> </w:t>
      </w:r>
      <w:r w:rsidRPr="00BC7A8D">
        <w:rPr>
          <w:rFonts w:ascii="Arial" w:eastAsia="Arial" w:hAnsi="Arial" w:cs="Arial"/>
          <w:spacing w:val="2"/>
        </w:rPr>
        <w:t>pada 2</w:t>
      </w:r>
      <w:r w:rsidRPr="00BC7A8D">
        <w:rPr>
          <w:rFonts w:ascii="Arial" w:eastAsia="Arial" w:hAnsi="Arial" w:cs="Arial"/>
        </w:rPr>
        <w:t>0</w:t>
      </w:r>
      <w:r w:rsidRPr="00BC7A8D">
        <w:rPr>
          <w:rFonts w:ascii="Arial" w:eastAsia="Arial" w:hAnsi="Arial" w:cs="Arial"/>
          <w:spacing w:val="-1"/>
        </w:rPr>
        <w:t>2</w:t>
      </w:r>
      <w:r w:rsidRPr="00BC7A8D">
        <w:rPr>
          <w:rFonts w:ascii="Arial" w:eastAsia="Arial" w:hAnsi="Arial" w:cs="Arial"/>
        </w:rPr>
        <w:t xml:space="preserve">0 </w:t>
      </w:r>
      <w:proofErr w:type="spellStart"/>
      <w:r w:rsidR="00BC7A8D">
        <w:rPr>
          <w:rFonts w:ascii="Arial" w:eastAsia="Arial" w:hAnsi="Arial" w:cs="Arial"/>
        </w:rPr>
        <w:t>namun</w:t>
      </w:r>
      <w:proofErr w:type="spellEnd"/>
      <w:r w:rsidR="00BC7A8D">
        <w:rPr>
          <w:rFonts w:ascii="Arial" w:eastAsia="Arial" w:hAnsi="Arial" w:cs="Arial"/>
        </w:rPr>
        <w:t xml:space="preserve"> </w:t>
      </w:r>
      <w:proofErr w:type="spellStart"/>
      <w:r w:rsidR="00BC7A8D">
        <w:rPr>
          <w:rFonts w:ascii="Arial" w:eastAsia="Arial" w:hAnsi="Arial" w:cs="Arial"/>
        </w:rPr>
        <w:t>disempurna</w:t>
      </w:r>
      <w:r w:rsidR="00BC7A8D" w:rsidRPr="00BC7A8D">
        <w:rPr>
          <w:rFonts w:ascii="Arial" w:eastAsia="Arial" w:hAnsi="Arial" w:cs="Arial"/>
        </w:rPr>
        <w:t>kan</w:t>
      </w:r>
      <w:proofErr w:type="spellEnd"/>
      <w:r w:rsidRPr="00BC7A8D">
        <w:rPr>
          <w:rFonts w:ascii="Arial" w:eastAsia="Arial" w:hAnsi="Arial" w:cs="Arial"/>
        </w:rPr>
        <w:t xml:space="preserve"> pada </w:t>
      </w:r>
      <w:proofErr w:type="spellStart"/>
      <w:r w:rsidRPr="00BC7A8D">
        <w:rPr>
          <w:rFonts w:ascii="Arial" w:eastAsia="Arial" w:hAnsi="Arial" w:cs="Arial"/>
        </w:rPr>
        <w:t>tahun</w:t>
      </w:r>
      <w:proofErr w:type="spellEnd"/>
      <w:r w:rsidRPr="00BC7A8D">
        <w:rPr>
          <w:rFonts w:ascii="Arial" w:eastAsia="Arial" w:hAnsi="Arial" w:cs="Arial"/>
        </w:rPr>
        <w:t xml:space="preserve"> </w:t>
      </w:r>
      <w:r w:rsidRPr="00BC7A8D">
        <w:rPr>
          <w:rFonts w:ascii="Arial" w:eastAsia="Arial" w:hAnsi="Arial" w:cs="Arial"/>
          <w:spacing w:val="2"/>
        </w:rPr>
        <w:t>2</w:t>
      </w:r>
      <w:r w:rsidRPr="00BC7A8D">
        <w:rPr>
          <w:rFonts w:ascii="Arial" w:eastAsia="Arial" w:hAnsi="Arial" w:cs="Arial"/>
        </w:rPr>
        <w:t>0</w:t>
      </w:r>
      <w:r w:rsidRPr="00BC7A8D">
        <w:rPr>
          <w:rFonts w:ascii="Arial" w:eastAsia="Arial" w:hAnsi="Arial" w:cs="Arial"/>
          <w:spacing w:val="-1"/>
        </w:rPr>
        <w:t>2</w:t>
      </w:r>
      <w:r w:rsidRPr="00BC7A8D">
        <w:rPr>
          <w:rFonts w:ascii="Arial" w:eastAsia="Arial" w:hAnsi="Arial" w:cs="Arial"/>
          <w:spacing w:val="2"/>
        </w:rPr>
        <w:t>1</w:t>
      </w:r>
      <w:r w:rsidRPr="00BC7A8D">
        <w:rPr>
          <w:rFonts w:ascii="Arial" w:eastAsia="Arial" w:hAnsi="Arial" w:cs="Arial"/>
        </w:rPr>
        <w:t>.</w:t>
      </w:r>
    </w:p>
    <w:p w14:paraId="22D45841" w14:textId="77777777" w:rsidR="006A20AD" w:rsidRPr="00BC7A8D" w:rsidRDefault="006A20AD" w:rsidP="006A20AD">
      <w:pPr>
        <w:pStyle w:val="ListParagraph"/>
        <w:tabs>
          <w:tab w:val="left" w:pos="373"/>
        </w:tabs>
        <w:spacing w:after="0" w:line="360" w:lineRule="auto"/>
        <w:ind w:left="315" w:right="-46"/>
        <w:jc w:val="both"/>
        <w:rPr>
          <w:rFonts w:ascii="Arial" w:hAnsi="Arial" w:cs="Arial"/>
        </w:rPr>
      </w:pPr>
    </w:p>
    <w:p w14:paraId="474A6BF0" w14:textId="19866FA1" w:rsidR="006A20AD" w:rsidRPr="00BC7A8D" w:rsidRDefault="006A20AD" w:rsidP="006A20AD">
      <w:pPr>
        <w:pStyle w:val="ListParagraph"/>
        <w:numPr>
          <w:ilvl w:val="0"/>
          <w:numId w:val="14"/>
        </w:numPr>
        <w:tabs>
          <w:tab w:val="left" w:pos="373"/>
        </w:tabs>
        <w:spacing w:after="0" w:line="360" w:lineRule="auto"/>
        <w:ind w:right="-46"/>
        <w:jc w:val="both"/>
        <w:rPr>
          <w:rFonts w:ascii="Arial" w:eastAsia="Arial" w:hAnsi="Arial" w:cs="Arial"/>
          <w:spacing w:val="1"/>
        </w:rPr>
      </w:pPr>
      <w:proofErr w:type="spellStart"/>
      <w:r w:rsidRPr="00BC7A8D">
        <w:rPr>
          <w:rFonts w:ascii="Arial" w:eastAsia="Arial" w:hAnsi="Arial" w:cs="Arial"/>
          <w:spacing w:val="1"/>
        </w:rPr>
        <w:lastRenderedPageBreak/>
        <w:t>Aktiviti</w:t>
      </w:r>
      <w:proofErr w:type="spellEnd"/>
      <w:r w:rsidRPr="00BC7A8D">
        <w:rPr>
          <w:rFonts w:ascii="Arial" w:eastAsia="Arial" w:hAnsi="Arial" w:cs="Arial"/>
          <w:spacing w:val="1"/>
        </w:rPr>
        <w:t xml:space="preserve"> </w:t>
      </w:r>
      <w:proofErr w:type="spellStart"/>
      <w:r w:rsidRPr="00BC7A8D">
        <w:rPr>
          <w:rFonts w:ascii="Arial" w:eastAsia="Arial" w:hAnsi="Arial" w:cs="Arial"/>
          <w:spacing w:val="1"/>
        </w:rPr>
        <w:t>pembinaan</w:t>
      </w:r>
      <w:proofErr w:type="spellEnd"/>
      <w:r w:rsidRPr="00BC7A8D">
        <w:rPr>
          <w:rFonts w:ascii="Arial" w:eastAsia="Arial" w:hAnsi="Arial" w:cs="Arial"/>
          <w:spacing w:val="1"/>
        </w:rPr>
        <w:t xml:space="preserve"> juga </w:t>
      </w:r>
      <w:proofErr w:type="spellStart"/>
      <w:r w:rsidRPr="00BC7A8D">
        <w:rPr>
          <w:rFonts w:ascii="Arial" w:eastAsia="Arial" w:hAnsi="Arial" w:cs="Arial"/>
          <w:spacing w:val="1"/>
        </w:rPr>
        <w:t>dilihat</w:t>
      </w:r>
      <w:proofErr w:type="spellEnd"/>
      <w:r w:rsidRPr="00BC7A8D">
        <w:rPr>
          <w:rFonts w:ascii="Arial" w:eastAsia="Arial" w:hAnsi="Arial" w:cs="Arial"/>
          <w:spacing w:val="1"/>
        </w:rPr>
        <w:t xml:space="preserve"> </w:t>
      </w:r>
      <w:r w:rsidR="001552A6" w:rsidRPr="00BC7A8D">
        <w:rPr>
          <w:rFonts w:ascii="Arial" w:eastAsia="Arial" w:hAnsi="Arial" w:cs="Arial"/>
          <w:spacing w:val="1"/>
        </w:rPr>
        <w:t xml:space="preserve">pada </w:t>
      </w:r>
      <w:proofErr w:type="spellStart"/>
      <w:r w:rsidR="001552A6" w:rsidRPr="00BC7A8D">
        <w:rPr>
          <w:rFonts w:ascii="Arial" w:eastAsia="Arial" w:hAnsi="Arial" w:cs="Arial"/>
          <w:spacing w:val="1"/>
        </w:rPr>
        <w:t>kadar</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rendah</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Tiga</w:t>
      </w:r>
      <w:proofErr w:type="spellEnd"/>
      <w:r w:rsidR="001552A6" w:rsidRPr="00BC7A8D">
        <w:rPr>
          <w:rFonts w:ascii="Arial" w:eastAsia="Arial" w:hAnsi="Arial" w:cs="Arial"/>
          <w:spacing w:val="1"/>
        </w:rPr>
        <w:t xml:space="preserve"> hotel/ resort </w:t>
      </w:r>
      <w:proofErr w:type="spellStart"/>
      <w:r w:rsidR="00BC7A8D">
        <w:rPr>
          <w:rFonts w:ascii="Arial" w:eastAsia="Arial" w:hAnsi="Arial" w:cs="Arial"/>
          <w:spacing w:val="1"/>
        </w:rPr>
        <w:t>S</w:t>
      </w:r>
      <w:r w:rsidR="001552A6" w:rsidRPr="00BC7A8D">
        <w:rPr>
          <w:rFonts w:ascii="Arial" w:eastAsia="Arial" w:hAnsi="Arial" w:cs="Arial"/>
          <w:spacing w:val="1"/>
        </w:rPr>
        <w:t>iap</w:t>
      </w:r>
      <w:proofErr w:type="spellEnd"/>
      <w:r w:rsidR="001552A6" w:rsidRPr="00BC7A8D">
        <w:rPr>
          <w:rFonts w:ascii="Arial" w:eastAsia="Arial" w:hAnsi="Arial" w:cs="Arial"/>
          <w:spacing w:val="1"/>
        </w:rPr>
        <w:t xml:space="preserve"> </w:t>
      </w:r>
      <w:proofErr w:type="spellStart"/>
      <w:r w:rsidR="00BC7A8D">
        <w:rPr>
          <w:rFonts w:ascii="Arial" w:eastAsia="Arial" w:hAnsi="Arial" w:cs="Arial"/>
          <w:spacing w:val="1"/>
        </w:rPr>
        <w:t>D</w:t>
      </w:r>
      <w:r w:rsidR="001552A6" w:rsidRPr="00BC7A8D">
        <w:rPr>
          <w:rFonts w:ascii="Arial" w:eastAsia="Arial" w:hAnsi="Arial" w:cs="Arial"/>
          <w:spacing w:val="1"/>
        </w:rPr>
        <w:t>ibina</w:t>
      </w:r>
      <w:proofErr w:type="spellEnd"/>
      <w:r w:rsidR="001552A6" w:rsidRPr="00BC7A8D">
        <w:rPr>
          <w:rFonts w:ascii="Arial" w:eastAsia="Arial" w:hAnsi="Arial" w:cs="Arial"/>
          <w:spacing w:val="1"/>
        </w:rPr>
        <w:t xml:space="preserve"> pada 2021 </w:t>
      </w:r>
      <w:proofErr w:type="spellStart"/>
      <w:r w:rsidR="001552A6" w:rsidRPr="00BC7A8D">
        <w:rPr>
          <w:rFonts w:ascii="Arial" w:eastAsia="Arial" w:hAnsi="Arial" w:cs="Arial"/>
          <w:spacing w:val="1"/>
        </w:rPr>
        <w:t>dengan</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menawarkan</w:t>
      </w:r>
      <w:proofErr w:type="spellEnd"/>
      <w:r w:rsidR="001552A6" w:rsidRPr="00BC7A8D">
        <w:rPr>
          <w:rFonts w:ascii="Arial" w:eastAsia="Arial" w:hAnsi="Arial" w:cs="Arial"/>
          <w:spacing w:val="1"/>
        </w:rPr>
        <w:t xml:space="preserve"> </w:t>
      </w:r>
      <w:r w:rsidRPr="00BC7A8D">
        <w:rPr>
          <w:rFonts w:ascii="Arial" w:eastAsia="Arial" w:hAnsi="Arial" w:cs="Arial"/>
          <w:spacing w:val="1"/>
        </w:rPr>
        <w:t xml:space="preserve">337 </w:t>
      </w:r>
      <w:proofErr w:type="spellStart"/>
      <w:r w:rsidR="001552A6" w:rsidRPr="00BC7A8D">
        <w:rPr>
          <w:rFonts w:ascii="Arial" w:eastAsia="Arial" w:hAnsi="Arial" w:cs="Arial"/>
          <w:spacing w:val="1"/>
        </w:rPr>
        <w:t>bilik</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menurun</w:t>
      </w:r>
      <w:proofErr w:type="spellEnd"/>
      <w:r w:rsidR="001552A6" w:rsidRPr="00BC7A8D">
        <w:rPr>
          <w:rFonts w:ascii="Arial" w:eastAsia="Arial" w:hAnsi="Arial" w:cs="Arial"/>
          <w:spacing w:val="1"/>
        </w:rPr>
        <w:t xml:space="preserve"> pada </w:t>
      </w:r>
      <w:r w:rsidRPr="00BC7A8D">
        <w:rPr>
          <w:rFonts w:ascii="Arial" w:eastAsia="Arial" w:hAnsi="Arial" w:cs="Arial"/>
          <w:spacing w:val="1"/>
        </w:rPr>
        <w:t xml:space="preserve">77.6% </w:t>
      </w:r>
      <w:proofErr w:type="spellStart"/>
      <w:r w:rsidR="001552A6" w:rsidRPr="00BC7A8D">
        <w:rPr>
          <w:rFonts w:ascii="Arial" w:eastAsia="Arial" w:hAnsi="Arial" w:cs="Arial"/>
          <w:spacing w:val="1"/>
        </w:rPr>
        <w:t>berbanding</w:t>
      </w:r>
      <w:proofErr w:type="spellEnd"/>
      <w:r w:rsidR="001552A6" w:rsidRPr="00BC7A8D">
        <w:rPr>
          <w:rFonts w:ascii="Arial" w:eastAsia="Arial" w:hAnsi="Arial" w:cs="Arial"/>
          <w:spacing w:val="1"/>
        </w:rPr>
        <w:t xml:space="preserve"> </w:t>
      </w:r>
      <w:r w:rsidRPr="00BC7A8D">
        <w:rPr>
          <w:rFonts w:ascii="Arial" w:eastAsia="Arial" w:hAnsi="Arial" w:cs="Arial"/>
          <w:spacing w:val="1"/>
        </w:rPr>
        <w:t>2020 (20 hotel/</w:t>
      </w:r>
      <w:r w:rsidR="001552A6" w:rsidRPr="00BC7A8D">
        <w:rPr>
          <w:rFonts w:ascii="Arial" w:eastAsia="Arial" w:hAnsi="Arial" w:cs="Arial"/>
          <w:spacing w:val="1"/>
        </w:rPr>
        <w:t xml:space="preserve"> </w:t>
      </w:r>
      <w:r w:rsidRPr="00BC7A8D">
        <w:rPr>
          <w:rFonts w:ascii="Arial" w:eastAsia="Arial" w:hAnsi="Arial" w:cs="Arial"/>
          <w:spacing w:val="1"/>
        </w:rPr>
        <w:t xml:space="preserve">resort; 1,503 </w:t>
      </w:r>
      <w:proofErr w:type="spellStart"/>
      <w:r w:rsidR="001552A6" w:rsidRPr="00BC7A8D">
        <w:rPr>
          <w:rFonts w:ascii="Arial" w:eastAsia="Arial" w:hAnsi="Arial" w:cs="Arial"/>
          <w:spacing w:val="1"/>
        </w:rPr>
        <w:t>bilik</w:t>
      </w:r>
      <w:proofErr w:type="spellEnd"/>
      <w:r w:rsidRPr="00BC7A8D">
        <w:rPr>
          <w:rFonts w:ascii="Arial" w:eastAsia="Arial" w:hAnsi="Arial" w:cs="Arial"/>
          <w:spacing w:val="1"/>
        </w:rPr>
        <w:t xml:space="preserve">). </w:t>
      </w:r>
      <w:proofErr w:type="spellStart"/>
      <w:r w:rsidR="001552A6" w:rsidRPr="00BC7A8D">
        <w:rPr>
          <w:rFonts w:ascii="Arial" w:eastAsia="Arial" w:hAnsi="Arial" w:cs="Arial"/>
          <w:spacing w:val="1"/>
        </w:rPr>
        <w:t>Mula</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Dibina</w:t>
      </w:r>
      <w:proofErr w:type="spellEnd"/>
      <w:r w:rsidR="001552A6" w:rsidRPr="00BC7A8D">
        <w:rPr>
          <w:rFonts w:ascii="Arial" w:eastAsia="Arial" w:hAnsi="Arial" w:cs="Arial"/>
          <w:spacing w:val="1"/>
        </w:rPr>
        <w:t xml:space="preserve"> dan </w:t>
      </w:r>
      <w:proofErr w:type="spellStart"/>
      <w:r w:rsidR="001552A6" w:rsidRPr="00BC7A8D">
        <w:rPr>
          <w:rFonts w:ascii="Arial" w:eastAsia="Arial" w:hAnsi="Arial" w:cs="Arial"/>
          <w:spacing w:val="1"/>
        </w:rPr>
        <w:t>Penawaran</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Baru</w:t>
      </w:r>
      <w:proofErr w:type="spellEnd"/>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Dirancang</w:t>
      </w:r>
      <w:proofErr w:type="spellEnd"/>
      <w:r w:rsidR="001552A6" w:rsidRPr="00BC7A8D">
        <w:rPr>
          <w:rFonts w:ascii="Arial" w:eastAsia="Arial" w:hAnsi="Arial" w:cs="Arial"/>
          <w:spacing w:val="1"/>
        </w:rPr>
        <w:t xml:space="preserve"> juga </w:t>
      </w:r>
      <w:proofErr w:type="spellStart"/>
      <w:r w:rsidR="001552A6" w:rsidRPr="00BC7A8D">
        <w:rPr>
          <w:rFonts w:ascii="Arial" w:eastAsia="Arial" w:hAnsi="Arial" w:cs="Arial"/>
          <w:spacing w:val="1"/>
        </w:rPr>
        <w:t>menguncup</w:t>
      </w:r>
      <w:proofErr w:type="spellEnd"/>
      <w:r w:rsidR="001552A6" w:rsidRPr="00BC7A8D">
        <w:rPr>
          <w:rFonts w:ascii="Arial" w:eastAsia="Arial" w:hAnsi="Arial" w:cs="Arial"/>
          <w:spacing w:val="1"/>
        </w:rPr>
        <w:t xml:space="preserve"> masing-masing pada </w:t>
      </w:r>
      <w:r w:rsidR="009B0E0F">
        <w:rPr>
          <w:rFonts w:ascii="Arial" w:eastAsia="Arial" w:hAnsi="Arial" w:cs="Arial"/>
          <w:spacing w:val="1"/>
        </w:rPr>
        <w:t>51.5</w:t>
      </w:r>
      <w:r w:rsidRPr="00BC7A8D">
        <w:rPr>
          <w:rFonts w:ascii="Arial" w:eastAsia="Arial" w:hAnsi="Arial" w:cs="Arial"/>
          <w:spacing w:val="1"/>
        </w:rPr>
        <w:t>% (9</w:t>
      </w:r>
      <w:r w:rsidR="009B0E0F">
        <w:rPr>
          <w:rFonts w:ascii="Arial" w:eastAsia="Arial" w:hAnsi="Arial" w:cs="Arial"/>
          <w:spacing w:val="1"/>
        </w:rPr>
        <w:t>8</w:t>
      </w:r>
      <w:r w:rsidRPr="00BC7A8D">
        <w:rPr>
          <w:rFonts w:ascii="Arial" w:eastAsia="Arial" w:hAnsi="Arial" w:cs="Arial"/>
          <w:spacing w:val="1"/>
        </w:rPr>
        <w:t xml:space="preserve">5 </w:t>
      </w:r>
      <w:proofErr w:type="spellStart"/>
      <w:r w:rsidR="001552A6" w:rsidRPr="00BC7A8D">
        <w:rPr>
          <w:rFonts w:ascii="Arial" w:eastAsia="Arial" w:hAnsi="Arial" w:cs="Arial"/>
          <w:spacing w:val="1"/>
        </w:rPr>
        <w:t>bilik</w:t>
      </w:r>
      <w:proofErr w:type="spellEnd"/>
      <w:r w:rsidRPr="00BC7A8D">
        <w:rPr>
          <w:rFonts w:ascii="Arial" w:eastAsia="Arial" w:hAnsi="Arial" w:cs="Arial"/>
          <w:spacing w:val="1"/>
        </w:rPr>
        <w:t xml:space="preserve">) </w:t>
      </w:r>
      <w:r w:rsidR="001552A6" w:rsidRPr="00BC7A8D">
        <w:rPr>
          <w:rFonts w:ascii="Arial" w:eastAsia="Arial" w:hAnsi="Arial" w:cs="Arial"/>
          <w:spacing w:val="1"/>
        </w:rPr>
        <w:t>dan</w:t>
      </w:r>
      <w:r w:rsidRPr="00BC7A8D">
        <w:rPr>
          <w:rFonts w:ascii="Arial" w:eastAsia="Arial" w:hAnsi="Arial" w:cs="Arial"/>
          <w:spacing w:val="1"/>
        </w:rPr>
        <w:t xml:space="preserve"> 79.6% (400</w:t>
      </w:r>
      <w:r w:rsidR="001552A6" w:rsidRPr="00BC7A8D">
        <w:rPr>
          <w:rFonts w:ascii="Arial" w:eastAsia="Arial" w:hAnsi="Arial" w:cs="Arial"/>
          <w:spacing w:val="1"/>
        </w:rPr>
        <w:t xml:space="preserve"> </w:t>
      </w:r>
      <w:proofErr w:type="spellStart"/>
      <w:r w:rsidR="001552A6" w:rsidRPr="00BC7A8D">
        <w:rPr>
          <w:rFonts w:ascii="Arial" w:eastAsia="Arial" w:hAnsi="Arial" w:cs="Arial"/>
          <w:spacing w:val="1"/>
        </w:rPr>
        <w:t>bilik</w:t>
      </w:r>
      <w:proofErr w:type="spellEnd"/>
      <w:r w:rsidRPr="00BC7A8D">
        <w:rPr>
          <w:rFonts w:ascii="Arial" w:eastAsia="Arial" w:hAnsi="Arial" w:cs="Arial"/>
          <w:spacing w:val="1"/>
        </w:rPr>
        <w:t xml:space="preserve">).  </w:t>
      </w:r>
    </w:p>
    <w:p w14:paraId="0D1BAF9E" w14:textId="77777777" w:rsidR="006A20AD" w:rsidRPr="00BC7A8D" w:rsidRDefault="006A20AD" w:rsidP="006A20AD">
      <w:pPr>
        <w:pStyle w:val="ListParagraph"/>
        <w:tabs>
          <w:tab w:val="left" w:pos="373"/>
        </w:tabs>
        <w:spacing w:after="0" w:line="360" w:lineRule="auto"/>
        <w:ind w:left="315" w:right="-46"/>
        <w:jc w:val="both"/>
        <w:rPr>
          <w:rFonts w:ascii="Arial" w:hAnsi="Arial" w:cs="Arial"/>
        </w:rPr>
      </w:pPr>
    </w:p>
    <w:p w14:paraId="36932813" w14:textId="15C309B2" w:rsidR="00100DF5" w:rsidRPr="00BC7A8D" w:rsidRDefault="00DC6AA0" w:rsidP="0023333B">
      <w:pPr>
        <w:pStyle w:val="ListParagraph"/>
        <w:numPr>
          <w:ilvl w:val="0"/>
          <w:numId w:val="14"/>
        </w:numPr>
        <w:tabs>
          <w:tab w:val="left" w:pos="373"/>
        </w:tabs>
        <w:spacing w:after="0" w:line="360" w:lineRule="auto"/>
        <w:ind w:right="-46"/>
        <w:jc w:val="both"/>
        <w:rPr>
          <w:rFonts w:ascii="Arial" w:hAnsi="Arial" w:cs="Arial"/>
          <w:lang w:val="ms-MY"/>
        </w:rPr>
      </w:pPr>
      <w:proofErr w:type="spellStart"/>
      <w:r>
        <w:rPr>
          <w:rFonts w:ascii="Arial" w:eastAsia="Arial" w:hAnsi="Arial" w:cs="Arial"/>
        </w:rPr>
        <w:t>P</w:t>
      </w:r>
      <w:r w:rsidR="001552A6" w:rsidRPr="00BC7A8D">
        <w:rPr>
          <w:rFonts w:ascii="Arial" w:eastAsia="Arial" w:hAnsi="Arial" w:cs="Arial"/>
        </w:rPr>
        <w:t>andemi</w:t>
      </w:r>
      <w:r>
        <w:rPr>
          <w:rFonts w:ascii="Arial" w:eastAsia="Arial" w:hAnsi="Arial" w:cs="Arial"/>
        </w:rPr>
        <w:t>k</w:t>
      </w:r>
      <w:proofErr w:type="spellEnd"/>
      <w:r w:rsidR="001552A6" w:rsidRPr="00BC7A8D">
        <w:rPr>
          <w:rFonts w:ascii="Arial" w:eastAsia="Arial" w:hAnsi="Arial" w:cs="Arial"/>
        </w:rPr>
        <w:t xml:space="preserve"> COVID-19 </w:t>
      </w:r>
      <w:proofErr w:type="spellStart"/>
      <w:r>
        <w:rPr>
          <w:rFonts w:ascii="Arial" w:eastAsia="Arial" w:hAnsi="Arial" w:cs="Arial"/>
        </w:rPr>
        <w:t>memberi</w:t>
      </w:r>
      <w:proofErr w:type="spellEnd"/>
      <w:r>
        <w:rPr>
          <w:rFonts w:ascii="Arial" w:eastAsia="Arial" w:hAnsi="Arial" w:cs="Arial"/>
        </w:rPr>
        <w:t xml:space="preserve"> </w:t>
      </w:r>
      <w:proofErr w:type="spellStart"/>
      <w:r>
        <w:rPr>
          <w:rFonts w:ascii="Arial" w:eastAsia="Arial" w:hAnsi="Arial" w:cs="Arial"/>
        </w:rPr>
        <w:t>kesan</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 xml:space="preserve"> </w:t>
      </w:r>
      <w:proofErr w:type="spellStart"/>
      <w:r w:rsidR="001552A6" w:rsidRPr="00BC7A8D">
        <w:rPr>
          <w:rFonts w:ascii="Arial" w:eastAsia="Arial" w:hAnsi="Arial" w:cs="Arial"/>
        </w:rPr>
        <w:t>ke</w:t>
      </w:r>
      <w:proofErr w:type="spellEnd"/>
      <w:r w:rsidR="001552A6" w:rsidRPr="00BC7A8D">
        <w:rPr>
          <w:rFonts w:ascii="Arial" w:eastAsia="Arial" w:hAnsi="Arial" w:cs="Arial"/>
        </w:rPr>
        <w:t xml:space="preserve"> </w:t>
      </w:r>
      <w:proofErr w:type="spellStart"/>
      <w:r w:rsidR="001552A6" w:rsidRPr="00BC7A8D">
        <w:rPr>
          <w:rFonts w:ascii="Arial" w:eastAsia="Arial" w:hAnsi="Arial" w:cs="Arial"/>
        </w:rPr>
        <w:t>atas</w:t>
      </w:r>
      <w:proofErr w:type="spellEnd"/>
      <w:r w:rsidR="001552A6" w:rsidRPr="00BC7A8D">
        <w:rPr>
          <w:rFonts w:ascii="Arial" w:eastAsia="Arial" w:hAnsi="Arial" w:cs="Arial"/>
        </w:rPr>
        <w:t xml:space="preserve"> </w:t>
      </w:r>
      <w:proofErr w:type="spellStart"/>
      <w:r w:rsidR="001552A6" w:rsidRPr="00BC7A8D">
        <w:rPr>
          <w:rFonts w:ascii="Arial" w:eastAsia="Arial" w:hAnsi="Arial" w:cs="Arial"/>
        </w:rPr>
        <w:t>sektor</w:t>
      </w:r>
      <w:proofErr w:type="spellEnd"/>
      <w:r w:rsidR="001552A6" w:rsidRPr="00BC7A8D">
        <w:rPr>
          <w:rFonts w:ascii="Arial" w:eastAsia="Arial" w:hAnsi="Arial" w:cs="Arial"/>
        </w:rPr>
        <w:t xml:space="preserve"> </w:t>
      </w:r>
      <w:proofErr w:type="spellStart"/>
      <w:r w:rsidR="001552A6" w:rsidRPr="00BC7A8D">
        <w:rPr>
          <w:rFonts w:ascii="Arial" w:eastAsia="Arial" w:hAnsi="Arial" w:cs="Arial"/>
        </w:rPr>
        <w:t>riadah</w:t>
      </w:r>
      <w:proofErr w:type="spellEnd"/>
      <w:r w:rsidR="001552A6" w:rsidRPr="00BC7A8D">
        <w:rPr>
          <w:rFonts w:ascii="Arial" w:eastAsia="Arial" w:hAnsi="Arial" w:cs="Arial"/>
        </w:rPr>
        <w:t xml:space="preserve"> </w:t>
      </w:r>
      <w:proofErr w:type="spellStart"/>
      <w:r>
        <w:rPr>
          <w:rFonts w:ascii="Arial" w:eastAsia="Arial" w:hAnsi="Arial" w:cs="Arial"/>
        </w:rPr>
        <w:t>apabila</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banyak</w:t>
      </w:r>
      <w:proofErr w:type="spellEnd"/>
      <w:r w:rsidR="0023333B" w:rsidRPr="00BC7A8D">
        <w:rPr>
          <w:rFonts w:ascii="Arial" w:eastAsia="Arial" w:hAnsi="Arial" w:cs="Arial"/>
        </w:rPr>
        <w:t xml:space="preserve"> hotel/ reso</w:t>
      </w:r>
      <w:r>
        <w:rPr>
          <w:rFonts w:ascii="Arial" w:eastAsia="Arial" w:hAnsi="Arial" w:cs="Arial"/>
        </w:rPr>
        <w:t>r</w:t>
      </w:r>
      <w:r w:rsidR="0023333B" w:rsidRPr="00BC7A8D">
        <w:rPr>
          <w:rFonts w:ascii="Arial" w:eastAsia="Arial" w:hAnsi="Arial" w:cs="Arial"/>
        </w:rPr>
        <w:t xml:space="preserve">t </w:t>
      </w:r>
      <w:proofErr w:type="spellStart"/>
      <w:r w:rsidR="0023333B" w:rsidRPr="00BC7A8D">
        <w:rPr>
          <w:rFonts w:ascii="Arial" w:eastAsia="Arial" w:hAnsi="Arial" w:cs="Arial"/>
        </w:rPr>
        <w:t>terpaksa</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ditutup</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buat</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sementara</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waktu</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atau</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ditutup</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secara</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kekal</w:t>
      </w:r>
      <w:proofErr w:type="spellEnd"/>
      <w:r w:rsidR="0023333B" w:rsidRPr="00BC7A8D">
        <w:rPr>
          <w:rFonts w:ascii="Arial" w:eastAsia="Arial" w:hAnsi="Arial" w:cs="Arial"/>
        </w:rPr>
        <w:t xml:space="preserve"> kerana kos </w:t>
      </w:r>
      <w:proofErr w:type="spellStart"/>
      <w:r w:rsidR="0023333B" w:rsidRPr="00BC7A8D">
        <w:rPr>
          <w:rFonts w:ascii="Arial" w:eastAsia="Arial" w:hAnsi="Arial" w:cs="Arial"/>
        </w:rPr>
        <w:t>operasi</w:t>
      </w:r>
      <w:proofErr w:type="spellEnd"/>
      <w:r w:rsidR="0023333B" w:rsidRPr="00BC7A8D">
        <w:rPr>
          <w:rFonts w:ascii="Arial" w:eastAsia="Arial" w:hAnsi="Arial" w:cs="Arial"/>
        </w:rPr>
        <w:t xml:space="preserve"> yang </w:t>
      </w:r>
      <w:proofErr w:type="spellStart"/>
      <w:r w:rsidR="0023333B" w:rsidRPr="00BC7A8D">
        <w:rPr>
          <w:rFonts w:ascii="Arial" w:eastAsia="Arial" w:hAnsi="Arial" w:cs="Arial"/>
        </w:rPr>
        <w:t>jauh</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dari</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kemampuan</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Menurut</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Pelancongan</w:t>
      </w:r>
      <w:proofErr w:type="spellEnd"/>
      <w:r w:rsidR="0023333B" w:rsidRPr="00BC7A8D">
        <w:rPr>
          <w:rFonts w:ascii="Arial" w:eastAsia="Arial" w:hAnsi="Arial" w:cs="Arial"/>
        </w:rPr>
        <w:t xml:space="preserve"> Malaysia, </w:t>
      </w:r>
      <w:proofErr w:type="spellStart"/>
      <w:r w:rsidR="0023333B" w:rsidRPr="00BC7A8D">
        <w:rPr>
          <w:rFonts w:ascii="Arial" w:eastAsia="Arial" w:hAnsi="Arial" w:cs="Arial"/>
        </w:rPr>
        <w:t>purata</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kadar</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penghunian</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turun</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kepada</w:t>
      </w:r>
      <w:proofErr w:type="spellEnd"/>
      <w:r w:rsidR="0023333B" w:rsidRPr="00BC7A8D">
        <w:rPr>
          <w:rFonts w:ascii="Arial" w:eastAsia="Arial" w:hAnsi="Arial" w:cs="Arial"/>
        </w:rPr>
        <w:t xml:space="preserve"> 21.8% (</w:t>
      </w:r>
      <w:proofErr w:type="spellStart"/>
      <w:r w:rsidR="0023333B" w:rsidRPr="00BC7A8D">
        <w:rPr>
          <w:rFonts w:ascii="Arial" w:eastAsia="Arial" w:hAnsi="Arial" w:cs="Arial"/>
        </w:rPr>
        <w:t>Januari</w:t>
      </w:r>
      <w:proofErr w:type="spellEnd"/>
      <w:r w:rsidR="0023333B" w:rsidRPr="00BC7A8D">
        <w:rPr>
          <w:rFonts w:ascii="Arial" w:eastAsia="Arial" w:hAnsi="Arial" w:cs="Arial"/>
        </w:rPr>
        <w:t xml:space="preserve"> </w:t>
      </w:r>
      <w:proofErr w:type="spellStart"/>
      <w:r w:rsidR="0023333B" w:rsidRPr="00BC7A8D">
        <w:rPr>
          <w:rFonts w:ascii="Arial" w:eastAsia="Arial" w:hAnsi="Arial" w:cs="Arial"/>
        </w:rPr>
        <w:t>hingga</w:t>
      </w:r>
      <w:proofErr w:type="spellEnd"/>
      <w:r w:rsidR="0023333B" w:rsidRPr="00BC7A8D">
        <w:rPr>
          <w:rFonts w:ascii="Arial" w:eastAsia="Arial" w:hAnsi="Arial" w:cs="Arial"/>
        </w:rPr>
        <w:t xml:space="preserve"> September 2021) </w:t>
      </w:r>
      <w:proofErr w:type="spellStart"/>
      <w:r w:rsidR="0023333B" w:rsidRPr="00BC7A8D">
        <w:rPr>
          <w:rFonts w:ascii="Arial" w:eastAsia="Arial" w:hAnsi="Arial" w:cs="Arial"/>
        </w:rPr>
        <w:t>daripada</w:t>
      </w:r>
      <w:proofErr w:type="spellEnd"/>
      <w:r w:rsidR="0023333B" w:rsidRPr="00BC7A8D">
        <w:rPr>
          <w:rFonts w:ascii="Arial" w:eastAsia="Arial" w:hAnsi="Arial" w:cs="Arial"/>
        </w:rPr>
        <w:t xml:space="preserve"> 31.6% pada 2020. </w:t>
      </w:r>
    </w:p>
    <w:p w14:paraId="24EC0BBA" w14:textId="0E8AA6E1" w:rsidR="00100DF5" w:rsidRPr="004062FD" w:rsidRDefault="00100DF5" w:rsidP="00100DF5">
      <w:pPr>
        <w:pStyle w:val="ListParagraph"/>
        <w:spacing w:line="360" w:lineRule="auto"/>
        <w:ind w:left="450"/>
        <w:jc w:val="both"/>
        <w:rPr>
          <w:rFonts w:ascii="Arial" w:hAnsi="Arial" w:cs="Arial"/>
          <w:color w:val="FF0000"/>
          <w:lang w:val="ms-MY"/>
        </w:rPr>
      </w:pPr>
    </w:p>
    <w:p w14:paraId="7830C413" w14:textId="77777777" w:rsidR="00100DF5" w:rsidRPr="004062FD" w:rsidRDefault="00100DF5" w:rsidP="00100DF5">
      <w:pPr>
        <w:pStyle w:val="ListParagraph"/>
        <w:spacing w:line="360" w:lineRule="auto"/>
        <w:ind w:left="450"/>
        <w:jc w:val="both"/>
        <w:rPr>
          <w:rFonts w:ascii="Arial" w:hAnsi="Arial" w:cs="Arial"/>
          <w:color w:val="FF0000"/>
          <w:lang w:val="ms-MY"/>
        </w:rPr>
      </w:pPr>
    </w:p>
    <w:p w14:paraId="1B301321" w14:textId="5E3AFBED" w:rsidR="00100DF5" w:rsidRPr="004062FD" w:rsidRDefault="00100DF5" w:rsidP="00100DF5">
      <w:pPr>
        <w:pStyle w:val="ListParagraph"/>
        <w:spacing w:line="360" w:lineRule="auto"/>
        <w:ind w:left="0"/>
        <w:jc w:val="both"/>
        <w:rPr>
          <w:rFonts w:ascii="Arial" w:hAnsi="Arial" w:cs="Arial"/>
          <w:b/>
          <w:bCs/>
          <w:color w:val="000000" w:themeColor="text1"/>
          <w:lang w:val="ms-MY"/>
        </w:rPr>
      </w:pPr>
      <w:r w:rsidRPr="004062FD">
        <w:rPr>
          <w:rFonts w:ascii="Arial" w:hAnsi="Arial" w:cs="Arial"/>
          <w:b/>
          <w:bCs/>
          <w:color w:val="000000" w:themeColor="text1"/>
          <w:lang w:val="ms-MY"/>
        </w:rPr>
        <w:t>PROSPEK 2022</w:t>
      </w:r>
    </w:p>
    <w:p w14:paraId="17DF9E66" w14:textId="77777777" w:rsidR="00100DF5" w:rsidRPr="004062FD" w:rsidRDefault="00100DF5" w:rsidP="00100DF5">
      <w:pPr>
        <w:pStyle w:val="ListParagraph"/>
        <w:spacing w:line="360" w:lineRule="auto"/>
        <w:ind w:left="0"/>
        <w:jc w:val="both"/>
        <w:rPr>
          <w:rFonts w:ascii="Arial" w:hAnsi="Arial" w:cs="Arial"/>
          <w:b/>
          <w:bCs/>
          <w:color w:val="000000" w:themeColor="text1"/>
          <w:lang w:val="ms-MY"/>
        </w:rPr>
      </w:pPr>
    </w:p>
    <w:p w14:paraId="444BAAB5" w14:textId="08AF92C3" w:rsidR="00E3512D" w:rsidRPr="004062FD" w:rsidRDefault="000D39C8" w:rsidP="00100DF5">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spacing w:val="5"/>
          <w:lang w:val="ms-MY" w:eastAsia="en-GB"/>
        </w:rPr>
        <w:t xml:space="preserve">Pasaran </w:t>
      </w:r>
      <w:r w:rsidR="00BC0507" w:rsidRPr="004062FD">
        <w:rPr>
          <w:rFonts w:ascii="Arial" w:hAnsi="Arial" w:cs="Arial"/>
          <w:spacing w:val="5"/>
          <w:lang w:val="ms-MY" w:eastAsia="en-GB"/>
        </w:rPr>
        <w:t>harta tanah</w:t>
      </w:r>
      <w:r w:rsidRPr="004062FD">
        <w:rPr>
          <w:rFonts w:ascii="Arial" w:hAnsi="Arial" w:cs="Arial"/>
          <w:spacing w:val="5"/>
          <w:lang w:val="ms-MY" w:eastAsia="en-GB"/>
        </w:rPr>
        <w:t xml:space="preserve"> dijangka pulih semula pada 2022 walaupun dalam persekitaran yang masih mencabar. Fasa 'Peralihan ke Endemik' Covid-19 bermula 1 April 2022 akan menyaksikan penarikan balik sekatan ke atas waktu operasi perniagaan dan pembukaan semula sempadan negara, yang dijangka meningkatkan lagi aktiviti ekonomi domestik.</w:t>
      </w:r>
    </w:p>
    <w:p w14:paraId="529E096C" w14:textId="77777777" w:rsidR="00002DC9" w:rsidRPr="004062FD" w:rsidRDefault="00002DC9" w:rsidP="00002DC9">
      <w:pPr>
        <w:pStyle w:val="ListParagraph"/>
        <w:spacing w:line="360" w:lineRule="auto"/>
        <w:ind w:left="450"/>
        <w:jc w:val="both"/>
        <w:rPr>
          <w:rFonts w:ascii="Arial" w:hAnsi="Arial" w:cs="Arial"/>
          <w:color w:val="FF0000"/>
          <w:lang w:val="ms-MY"/>
        </w:rPr>
      </w:pPr>
    </w:p>
    <w:p w14:paraId="50FBF670" w14:textId="5C664F08" w:rsidR="000D39C8" w:rsidRPr="004062FD" w:rsidRDefault="000D39C8" w:rsidP="00002DC9">
      <w:pPr>
        <w:pStyle w:val="ListParagraph"/>
        <w:numPr>
          <w:ilvl w:val="0"/>
          <w:numId w:val="14"/>
        </w:numPr>
        <w:spacing w:line="360" w:lineRule="auto"/>
        <w:ind w:left="450" w:hanging="450"/>
        <w:jc w:val="both"/>
        <w:rPr>
          <w:rFonts w:ascii="Arial" w:hAnsi="Arial" w:cs="Arial"/>
          <w:color w:val="FF0000"/>
          <w:lang w:val="ms-MY"/>
        </w:rPr>
      </w:pPr>
      <w:r w:rsidRPr="004062FD">
        <w:rPr>
          <w:rFonts w:ascii="Arial" w:hAnsi="Arial" w:cs="Arial"/>
          <w:lang w:val="ms-MY"/>
        </w:rPr>
        <w:t xml:space="preserve">Memandangkan ekonomi ditetapkan pada trajektori yang betul, prestasi pasaran </w:t>
      </w:r>
      <w:r w:rsidR="00BC0507" w:rsidRPr="004062FD">
        <w:rPr>
          <w:rFonts w:ascii="Arial" w:hAnsi="Arial" w:cs="Arial"/>
          <w:lang w:val="ms-MY"/>
        </w:rPr>
        <w:t>harta tanah</w:t>
      </w:r>
      <w:r w:rsidRPr="004062FD">
        <w:rPr>
          <w:rFonts w:ascii="Arial" w:hAnsi="Arial" w:cs="Arial"/>
          <w:lang w:val="ms-MY"/>
        </w:rPr>
        <w:t xml:space="preserve"> dijangka berada pada landasan yang sama. Dasar akomodatif, sokongan kerajaan yang berterusan, pelaksanaan semua langkah terancang yang digariskan dalam Bajet 2022 dan pelaksanaan strategi dan inisiatif yang betul di bawah RMK-12 dijangka menyokong pertumbuhan dalam sektor </w:t>
      </w:r>
      <w:r w:rsidR="00BC0507" w:rsidRPr="004062FD">
        <w:rPr>
          <w:rFonts w:ascii="Arial" w:hAnsi="Arial" w:cs="Arial"/>
          <w:lang w:val="ms-MY"/>
        </w:rPr>
        <w:t>harta tanah</w:t>
      </w:r>
      <w:r w:rsidRPr="004062FD">
        <w:rPr>
          <w:rFonts w:ascii="Arial" w:hAnsi="Arial" w:cs="Arial"/>
          <w:lang w:val="ms-MY"/>
        </w:rPr>
        <w:t>.</w:t>
      </w:r>
    </w:p>
    <w:p w14:paraId="784AB67D" w14:textId="6547DDBB" w:rsidR="000D39C8" w:rsidRDefault="000D39C8" w:rsidP="000D39C8">
      <w:pPr>
        <w:pStyle w:val="NoSpacing"/>
        <w:jc w:val="both"/>
        <w:rPr>
          <w:rFonts w:ascii="Arial" w:hAnsi="Arial" w:cs="Arial"/>
          <w:color w:val="FF0000"/>
          <w:lang w:val="ms-MY"/>
        </w:rPr>
      </w:pPr>
    </w:p>
    <w:p w14:paraId="111246BF" w14:textId="77777777" w:rsidR="000D39C8" w:rsidRPr="000D39C8" w:rsidRDefault="000D39C8" w:rsidP="000D39C8">
      <w:pPr>
        <w:pStyle w:val="NoSpacing"/>
        <w:jc w:val="both"/>
        <w:rPr>
          <w:rFonts w:ascii="Arial" w:hAnsi="Arial" w:cs="Arial"/>
          <w:color w:val="FF0000"/>
          <w:lang w:val="ms-MY"/>
        </w:rPr>
      </w:pPr>
    </w:p>
    <w:p w14:paraId="3875944F" w14:textId="77777777" w:rsidR="00E3512D" w:rsidRPr="0033048F" w:rsidRDefault="00E3512D" w:rsidP="00425F95">
      <w:pPr>
        <w:pStyle w:val="NoSpacing"/>
        <w:jc w:val="both"/>
        <w:rPr>
          <w:rFonts w:ascii="Arial" w:hAnsi="Arial" w:cs="Arial"/>
          <w:b/>
          <w:color w:val="FF0000"/>
          <w:lang w:val="ms-MY"/>
        </w:rPr>
      </w:pPr>
    </w:p>
    <w:p w14:paraId="53FF9AED" w14:textId="763D9D8A" w:rsidR="00F71D9C" w:rsidRPr="000D39C8" w:rsidRDefault="00CB3E12" w:rsidP="00425F95">
      <w:pPr>
        <w:pStyle w:val="NoSpacing"/>
        <w:jc w:val="both"/>
        <w:rPr>
          <w:rFonts w:ascii="Arial" w:hAnsi="Arial" w:cs="Arial"/>
          <w:b/>
          <w:lang w:val="ms-MY"/>
        </w:rPr>
      </w:pPr>
      <w:r>
        <w:rPr>
          <w:rFonts w:ascii="Arial" w:hAnsi="Arial" w:cs="Arial"/>
          <w:b/>
          <w:lang w:val="ms-MY"/>
        </w:rPr>
        <w:t>Pusat Maklumat Harta Tanah Negara</w:t>
      </w:r>
    </w:p>
    <w:p w14:paraId="5512B0F8" w14:textId="6EA4FDEE" w:rsidR="00F71D9C" w:rsidRPr="000D39C8" w:rsidRDefault="00CB3E12" w:rsidP="00425F95">
      <w:pPr>
        <w:pStyle w:val="NoSpacing"/>
        <w:jc w:val="both"/>
        <w:rPr>
          <w:rFonts w:ascii="Arial" w:hAnsi="Arial" w:cs="Arial"/>
          <w:b/>
          <w:lang w:val="ms-MY"/>
        </w:rPr>
      </w:pPr>
      <w:r>
        <w:rPr>
          <w:rFonts w:ascii="Arial" w:hAnsi="Arial" w:cs="Arial"/>
          <w:b/>
          <w:lang w:val="ms-MY"/>
        </w:rPr>
        <w:t xml:space="preserve">Jabatan Penilaian &amp; Perkhidmatan Harta </w:t>
      </w:r>
    </w:p>
    <w:p w14:paraId="13DB0282" w14:textId="12171BB1" w:rsidR="00F71D9C" w:rsidRPr="000D39C8" w:rsidRDefault="00CB3E12" w:rsidP="00425F95">
      <w:pPr>
        <w:pStyle w:val="NoSpacing"/>
        <w:jc w:val="both"/>
        <w:rPr>
          <w:rFonts w:ascii="Arial" w:hAnsi="Arial" w:cs="Arial"/>
          <w:b/>
          <w:lang w:val="ms-MY"/>
        </w:rPr>
      </w:pPr>
      <w:r>
        <w:rPr>
          <w:rFonts w:ascii="Arial" w:hAnsi="Arial" w:cs="Arial"/>
          <w:b/>
          <w:lang w:val="ms-MY"/>
        </w:rPr>
        <w:t>Kementerian Kewangan Malaysia</w:t>
      </w:r>
    </w:p>
    <w:p w14:paraId="1D79A6E3" w14:textId="321ED589" w:rsidR="000D39C8" w:rsidRPr="006E6F29" w:rsidRDefault="000D39C8" w:rsidP="000D39C8">
      <w:pPr>
        <w:pStyle w:val="NoSpacing"/>
        <w:rPr>
          <w:rFonts w:ascii="Arial" w:hAnsi="Arial" w:cs="Arial"/>
          <w:b/>
        </w:rPr>
      </w:pPr>
      <w:r w:rsidRPr="006E6F29">
        <w:rPr>
          <w:rFonts w:ascii="Arial" w:hAnsi="Arial" w:cs="Arial"/>
          <w:b/>
        </w:rPr>
        <w:t>1 April 2022</w:t>
      </w:r>
    </w:p>
    <w:p w14:paraId="06D69613" w14:textId="459FC5F2" w:rsidR="000F017F" w:rsidRPr="0033048F" w:rsidRDefault="000F017F" w:rsidP="000D39C8">
      <w:pPr>
        <w:pStyle w:val="NoSpacing"/>
        <w:jc w:val="both"/>
        <w:rPr>
          <w:color w:val="FF0000"/>
          <w:sz w:val="24"/>
          <w:szCs w:val="24"/>
        </w:rPr>
      </w:pPr>
    </w:p>
    <w:sectPr w:rsidR="000F017F" w:rsidRPr="0033048F">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1599" w14:textId="77777777" w:rsidR="00AC56EB" w:rsidRDefault="00AC56EB" w:rsidP="005D3012">
      <w:pPr>
        <w:spacing w:after="0" w:line="240" w:lineRule="auto"/>
      </w:pPr>
      <w:r>
        <w:separator/>
      </w:r>
    </w:p>
  </w:endnote>
  <w:endnote w:type="continuationSeparator" w:id="0">
    <w:p w14:paraId="043D71D5" w14:textId="77777777" w:rsidR="00AC56EB" w:rsidRDefault="00AC56EB" w:rsidP="005D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313276"/>
      <w:docPartObj>
        <w:docPartGallery w:val="Page Numbers (Bottom of Page)"/>
        <w:docPartUnique/>
      </w:docPartObj>
    </w:sdtPr>
    <w:sdtEndPr>
      <w:rPr>
        <w:noProof/>
      </w:rPr>
    </w:sdtEndPr>
    <w:sdtContent>
      <w:p w14:paraId="2C47D861" w14:textId="79100EC1" w:rsidR="005D3012" w:rsidRDefault="005D3012">
        <w:pPr>
          <w:pStyle w:val="Footer"/>
          <w:jc w:val="center"/>
        </w:pPr>
        <w:r>
          <w:fldChar w:fldCharType="begin"/>
        </w:r>
        <w:r>
          <w:instrText xml:space="preserve"> PAGE   \* MERGEFORMAT </w:instrText>
        </w:r>
        <w:r>
          <w:fldChar w:fldCharType="separate"/>
        </w:r>
        <w:r w:rsidR="009B0E0F">
          <w:rPr>
            <w:noProof/>
          </w:rPr>
          <w:t>5</w:t>
        </w:r>
        <w:r>
          <w:rPr>
            <w:noProof/>
          </w:rPr>
          <w:fldChar w:fldCharType="end"/>
        </w:r>
      </w:p>
    </w:sdtContent>
  </w:sdt>
  <w:p w14:paraId="5B44BCF4" w14:textId="77777777" w:rsidR="005D3012" w:rsidRDefault="005D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986B" w14:textId="77777777" w:rsidR="00AC56EB" w:rsidRDefault="00AC56EB" w:rsidP="005D3012">
      <w:pPr>
        <w:spacing w:after="0" w:line="240" w:lineRule="auto"/>
      </w:pPr>
      <w:r>
        <w:separator/>
      </w:r>
    </w:p>
  </w:footnote>
  <w:footnote w:type="continuationSeparator" w:id="0">
    <w:p w14:paraId="39E5B129" w14:textId="77777777" w:rsidR="00AC56EB" w:rsidRDefault="00AC56EB" w:rsidP="005D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2A1"/>
    <w:multiLevelType w:val="hybridMultilevel"/>
    <w:tmpl w:val="B164F92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35F8"/>
    <w:multiLevelType w:val="hybridMultilevel"/>
    <w:tmpl w:val="767291C8"/>
    <w:lvl w:ilvl="0" w:tplc="48D6A1C0">
      <w:start w:val="1"/>
      <w:numFmt w:val="decimal"/>
      <w:lvlText w:val="%1."/>
      <w:lvlJc w:val="left"/>
      <w:pPr>
        <w:ind w:left="720" w:hanging="360"/>
      </w:pPr>
      <w:rPr>
        <w:rFonts w:ascii="Arial" w:hAnsi="Arial" w:cs="Arial" w:hint="default"/>
        <w:color w:val="auto"/>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C7325D"/>
    <w:multiLevelType w:val="hybridMultilevel"/>
    <w:tmpl w:val="767291C8"/>
    <w:lvl w:ilvl="0" w:tplc="48D6A1C0">
      <w:start w:val="1"/>
      <w:numFmt w:val="decimal"/>
      <w:lvlText w:val="%1."/>
      <w:lvlJc w:val="left"/>
      <w:pPr>
        <w:ind w:left="360" w:hanging="360"/>
      </w:pPr>
      <w:rPr>
        <w:rFonts w:ascii="Arial" w:hAnsi="Arial" w:cs="Arial" w:hint="default"/>
        <w:color w:val="auto"/>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B213A5"/>
    <w:multiLevelType w:val="hybridMultilevel"/>
    <w:tmpl w:val="FC96988C"/>
    <w:lvl w:ilvl="0" w:tplc="CB14594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12517"/>
    <w:multiLevelType w:val="hybridMultilevel"/>
    <w:tmpl w:val="5B9A890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238678CE"/>
    <w:multiLevelType w:val="hybridMultilevel"/>
    <w:tmpl w:val="DF3EE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274F8"/>
    <w:multiLevelType w:val="hybridMultilevel"/>
    <w:tmpl w:val="A53EC3E4"/>
    <w:lvl w:ilvl="0" w:tplc="8AEC0D4E">
      <w:start w:val="1"/>
      <w:numFmt w:val="decimal"/>
      <w:lvlText w:val="%1."/>
      <w:lvlJc w:val="left"/>
      <w:pPr>
        <w:ind w:left="720" w:hanging="360"/>
      </w:pPr>
      <w:rPr>
        <w:rFonts w:ascii="Arial" w:hAnsi="Arial" w:cs="Arial" w:hint="default"/>
        <w:color w:val="auto"/>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AAC40BA"/>
    <w:multiLevelType w:val="hybridMultilevel"/>
    <w:tmpl w:val="E1EE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E40DA"/>
    <w:multiLevelType w:val="hybridMultilevel"/>
    <w:tmpl w:val="EAB0FDB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2150"/>
    <w:multiLevelType w:val="hybridMultilevel"/>
    <w:tmpl w:val="720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47FBE"/>
    <w:multiLevelType w:val="hybridMultilevel"/>
    <w:tmpl w:val="E990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F0DF5"/>
    <w:multiLevelType w:val="hybridMultilevel"/>
    <w:tmpl w:val="CF64E770"/>
    <w:lvl w:ilvl="0" w:tplc="D0306868">
      <w:start w:val="1"/>
      <w:numFmt w:val="decimal"/>
      <w:lvlText w:val="%1."/>
      <w:lvlJc w:val="left"/>
      <w:pPr>
        <w:ind w:left="720" w:hanging="360"/>
      </w:pPr>
      <w:rPr>
        <w:rFonts w:hint="default"/>
        <w:color w:val="auto"/>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5452F94"/>
    <w:multiLevelType w:val="hybridMultilevel"/>
    <w:tmpl w:val="8ED4010C"/>
    <w:lvl w:ilvl="0" w:tplc="7A1AC8B0">
      <w:start w:val="15"/>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62AAD"/>
    <w:multiLevelType w:val="hybridMultilevel"/>
    <w:tmpl w:val="AF32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31801"/>
    <w:multiLevelType w:val="hybridMultilevel"/>
    <w:tmpl w:val="767291C8"/>
    <w:lvl w:ilvl="0" w:tplc="FFFFFFFF">
      <w:start w:val="1"/>
      <w:numFmt w:val="decimal"/>
      <w:lvlText w:val="%1."/>
      <w:lvlJc w:val="left"/>
      <w:pPr>
        <w:ind w:left="720" w:hanging="360"/>
      </w:pPr>
      <w:rPr>
        <w:rFonts w:ascii="Arial"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657E07"/>
    <w:multiLevelType w:val="hybridMultilevel"/>
    <w:tmpl w:val="DC44A102"/>
    <w:lvl w:ilvl="0" w:tplc="7B46A094">
      <w:start w:val="2019"/>
      <w:numFmt w:val="decimal"/>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0671A58"/>
    <w:multiLevelType w:val="hybridMultilevel"/>
    <w:tmpl w:val="AF70FC5C"/>
    <w:lvl w:ilvl="0" w:tplc="39F2579E">
      <w:start w:val="2019"/>
      <w:numFmt w:val="decimal"/>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C025331"/>
    <w:multiLevelType w:val="hybridMultilevel"/>
    <w:tmpl w:val="AFEC5B9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6F00185A"/>
    <w:multiLevelType w:val="multilevel"/>
    <w:tmpl w:val="BFF80C6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0C915E8"/>
    <w:multiLevelType w:val="hybridMultilevel"/>
    <w:tmpl w:val="04B6F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0"/>
  </w:num>
  <w:num w:numId="4">
    <w:abstractNumId w:val="7"/>
  </w:num>
  <w:num w:numId="5">
    <w:abstractNumId w:val="17"/>
  </w:num>
  <w:num w:numId="6">
    <w:abstractNumId w:val="13"/>
  </w:num>
  <w:num w:numId="7">
    <w:abstractNumId w:val="9"/>
  </w:num>
  <w:num w:numId="8">
    <w:abstractNumId w:val="3"/>
  </w:num>
  <w:num w:numId="9">
    <w:abstractNumId w:val="19"/>
  </w:num>
  <w:num w:numId="10">
    <w:abstractNumId w:val="5"/>
  </w:num>
  <w:num w:numId="11">
    <w:abstractNumId w:val="8"/>
  </w:num>
  <w:num w:numId="12">
    <w:abstractNumId w:val="12"/>
  </w:num>
  <w:num w:numId="13">
    <w:abstractNumId w:val="0"/>
  </w:num>
  <w:num w:numId="14">
    <w:abstractNumId w:val="2"/>
  </w:num>
  <w:num w:numId="15">
    <w:abstractNumId w:val="11"/>
  </w:num>
  <w:num w:numId="16">
    <w:abstractNumId w:val="6"/>
  </w:num>
  <w:num w:numId="17">
    <w:abstractNumId w:val="16"/>
  </w:num>
  <w:num w:numId="18">
    <w:abstractNumId w:val="15"/>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7F"/>
    <w:rsid w:val="00000200"/>
    <w:rsid w:val="0000207B"/>
    <w:rsid w:val="00002DC9"/>
    <w:rsid w:val="0000554B"/>
    <w:rsid w:val="0000754F"/>
    <w:rsid w:val="0001033C"/>
    <w:rsid w:val="000149E2"/>
    <w:rsid w:val="00014A53"/>
    <w:rsid w:val="00020325"/>
    <w:rsid w:val="00026DE6"/>
    <w:rsid w:val="00031DEB"/>
    <w:rsid w:val="00035DA1"/>
    <w:rsid w:val="00043147"/>
    <w:rsid w:val="00056B26"/>
    <w:rsid w:val="00060A63"/>
    <w:rsid w:val="00062588"/>
    <w:rsid w:val="00062F3F"/>
    <w:rsid w:val="000646F8"/>
    <w:rsid w:val="000731B6"/>
    <w:rsid w:val="000778D1"/>
    <w:rsid w:val="000812A5"/>
    <w:rsid w:val="00085990"/>
    <w:rsid w:val="00086FF7"/>
    <w:rsid w:val="0009529D"/>
    <w:rsid w:val="0009696B"/>
    <w:rsid w:val="000B7905"/>
    <w:rsid w:val="000C713E"/>
    <w:rsid w:val="000D39C8"/>
    <w:rsid w:val="000D5C9F"/>
    <w:rsid w:val="000D5E16"/>
    <w:rsid w:val="000D7D40"/>
    <w:rsid w:val="000E0092"/>
    <w:rsid w:val="000E2548"/>
    <w:rsid w:val="000E4BCB"/>
    <w:rsid w:val="000E4F65"/>
    <w:rsid w:val="000F017F"/>
    <w:rsid w:val="000F21D2"/>
    <w:rsid w:val="000F5817"/>
    <w:rsid w:val="00100463"/>
    <w:rsid w:val="00100DF5"/>
    <w:rsid w:val="00102012"/>
    <w:rsid w:val="00103BC1"/>
    <w:rsid w:val="00104384"/>
    <w:rsid w:val="00110A2E"/>
    <w:rsid w:val="001122ED"/>
    <w:rsid w:val="001201A1"/>
    <w:rsid w:val="00121129"/>
    <w:rsid w:val="00121939"/>
    <w:rsid w:val="0012467A"/>
    <w:rsid w:val="001256B8"/>
    <w:rsid w:val="0012587B"/>
    <w:rsid w:val="00125A8D"/>
    <w:rsid w:val="00125ACC"/>
    <w:rsid w:val="00126992"/>
    <w:rsid w:val="00137096"/>
    <w:rsid w:val="001404AD"/>
    <w:rsid w:val="001453D5"/>
    <w:rsid w:val="001542D3"/>
    <w:rsid w:val="001552A6"/>
    <w:rsid w:val="00155F8C"/>
    <w:rsid w:val="0015634C"/>
    <w:rsid w:val="00164261"/>
    <w:rsid w:val="00164C75"/>
    <w:rsid w:val="001664DA"/>
    <w:rsid w:val="00181D91"/>
    <w:rsid w:val="0018280A"/>
    <w:rsid w:val="001959E1"/>
    <w:rsid w:val="00195EB8"/>
    <w:rsid w:val="001A1283"/>
    <w:rsid w:val="001A7FAB"/>
    <w:rsid w:val="001B7A8D"/>
    <w:rsid w:val="001C1FAC"/>
    <w:rsid w:val="001D6BA8"/>
    <w:rsid w:val="001E6ABC"/>
    <w:rsid w:val="001F04A3"/>
    <w:rsid w:val="001F051C"/>
    <w:rsid w:val="001F0A62"/>
    <w:rsid w:val="001F2F22"/>
    <w:rsid w:val="001F509E"/>
    <w:rsid w:val="001F5226"/>
    <w:rsid w:val="00202079"/>
    <w:rsid w:val="002046FD"/>
    <w:rsid w:val="00204927"/>
    <w:rsid w:val="0020543E"/>
    <w:rsid w:val="002074D8"/>
    <w:rsid w:val="00210206"/>
    <w:rsid w:val="002110ED"/>
    <w:rsid w:val="00212929"/>
    <w:rsid w:val="00214AC3"/>
    <w:rsid w:val="00231E0D"/>
    <w:rsid w:val="0023333B"/>
    <w:rsid w:val="002374CE"/>
    <w:rsid w:val="0024112A"/>
    <w:rsid w:val="00241F60"/>
    <w:rsid w:val="00247198"/>
    <w:rsid w:val="00247680"/>
    <w:rsid w:val="002508AC"/>
    <w:rsid w:val="002576E0"/>
    <w:rsid w:val="00257F87"/>
    <w:rsid w:val="00261E6A"/>
    <w:rsid w:val="002656DA"/>
    <w:rsid w:val="00267CFB"/>
    <w:rsid w:val="002713B9"/>
    <w:rsid w:val="002749BC"/>
    <w:rsid w:val="00277619"/>
    <w:rsid w:val="00292033"/>
    <w:rsid w:val="002971FB"/>
    <w:rsid w:val="002A45DA"/>
    <w:rsid w:val="002A67FD"/>
    <w:rsid w:val="002A763E"/>
    <w:rsid w:val="002B1B04"/>
    <w:rsid w:val="002B3265"/>
    <w:rsid w:val="002B43B2"/>
    <w:rsid w:val="002C2CD8"/>
    <w:rsid w:val="002C7E89"/>
    <w:rsid w:val="002D7F55"/>
    <w:rsid w:val="002F1D47"/>
    <w:rsid w:val="0030187F"/>
    <w:rsid w:val="00310682"/>
    <w:rsid w:val="0031634E"/>
    <w:rsid w:val="00327B32"/>
    <w:rsid w:val="0033048F"/>
    <w:rsid w:val="003312EA"/>
    <w:rsid w:val="00336128"/>
    <w:rsid w:val="00343E36"/>
    <w:rsid w:val="003449ED"/>
    <w:rsid w:val="00346855"/>
    <w:rsid w:val="003478CA"/>
    <w:rsid w:val="00352D64"/>
    <w:rsid w:val="00366FF2"/>
    <w:rsid w:val="00371EC2"/>
    <w:rsid w:val="0037223C"/>
    <w:rsid w:val="00381CF0"/>
    <w:rsid w:val="00383A10"/>
    <w:rsid w:val="00387D61"/>
    <w:rsid w:val="00391E05"/>
    <w:rsid w:val="00391F52"/>
    <w:rsid w:val="003A00C4"/>
    <w:rsid w:val="003A13FD"/>
    <w:rsid w:val="003A271F"/>
    <w:rsid w:val="003A7C8F"/>
    <w:rsid w:val="003B63E3"/>
    <w:rsid w:val="003B6E9B"/>
    <w:rsid w:val="003C2C75"/>
    <w:rsid w:val="003C55E6"/>
    <w:rsid w:val="003D040D"/>
    <w:rsid w:val="003E0833"/>
    <w:rsid w:val="003E3877"/>
    <w:rsid w:val="003E40E2"/>
    <w:rsid w:val="003E4361"/>
    <w:rsid w:val="003E56C0"/>
    <w:rsid w:val="003E6C5A"/>
    <w:rsid w:val="003E7904"/>
    <w:rsid w:val="003F0539"/>
    <w:rsid w:val="003F0F34"/>
    <w:rsid w:val="003F365C"/>
    <w:rsid w:val="00401BF7"/>
    <w:rsid w:val="004062FD"/>
    <w:rsid w:val="00407009"/>
    <w:rsid w:val="00413B40"/>
    <w:rsid w:val="0041488C"/>
    <w:rsid w:val="004148C2"/>
    <w:rsid w:val="00415B42"/>
    <w:rsid w:val="00421BE6"/>
    <w:rsid w:val="00423308"/>
    <w:rsid w:val="004249C3"/>
    <w:rsid w:val="00425F95"/>
    <w:rsid w:val="00435A41"/>
    <w:rsid w:val="00442725"/>
    <w:rsid w:val="00444865"/>
    <w:rsid w:val="00444C07"/>
    <w:rsid w:val="00447D82"/>
    <w:rsid w:val="00450BC1"/>
    <w:rsid w:val="00460B92"/>
    <w:rsid w:val="004646A8"/>
    <w:rsid w:val="00464AC8"/>
    <w:rsid w:val="00464C10"/>
    <w:rsid w:val="00466E86"/>
    <w:rsid w:val="00467705"/>
    <w:rsid w:val="00470E7F"/>
    <w:rsid w:val="00476DBD"/>
    <w:rsid w:val="00484C33"/>
    <w:rsid w:val="00484FF4"/>
    <w:rsid w:val="00487215"/>
    <w:rsid w:val="00493BAF"/>
    <w:rsid w:val="00493E99"/>
    <w:rsid w:val="004974C8"/>
    <w:rsid w:val="004A1C12"/>
    <w:rsid w:val="004A22BE"/>
    <w:rsid w:val="004A7315"/>
    <w:rsid w:val="004B3DCF"/>
    <w:rsid w:val="004B6D2C"/>
    <w:rsid w:val="004B74A8"/>
    <w:rsid w:val="004B7E60"/>
    <w:rsid w:val="004C0E8C"/>
    <w:rsid w:val="004D24B2"/>
    <w:rsid w:val="004E0125"/>
    <w:rsid w:val="004E5DD2"/>
    <w:rsid w:val="004E5FB4"/>
    <w:rsid w:val="004F0F3D"/>
    <w:rsid w:val="005015B8"/>
    <w:rsid w:val="00501716"/>
    <w:rsid w:val="00501A6B"/>
    <w:rsid w:val="00503276"/>
    <w:rsid w:val="00507410"/>
    <w:rsid w:val="005129D2"/>
    <w:rsid w:val="0051587E"/>
    <w:rsid w:val="00516A32"/>
    <w:rsid w:val="00521100"/>
    <w:rsid w:val="005218D4"/>
    <w:rsid w:val="00522F69"/>
    <w:rsid w:val="005276A9"/>
    <w:rsid w:val="005316BA"/>
    <w:rsid w:val="0053556F"/>
    <w:rsid w:val="005358ED"/>
    <w:rsid w:val="005403F7"/>
    <w:rsid w:val="005440E5"/>
    <w:rsid w:val="00545B02"/>
    <w:rsid w:val="005461B0"/>
    <w:rsid w:val="00546E2A"/>
    <w:rsid w:val="00551E68"/>
    <w:rsid w:val="00552710"/>
    <w:rsid w:val="005529AD"/>
    <w:rsid w:val="0055624F"/>
    <w:rsid w:val="00556663"/>
    <w:rsid w:val="00557667"/>
    <w:rsid w:val="00557D72"/>
    <w:rsid w:val="00560668"/>
    <w:rsid w:val="0057009D"/>
    <w:rsid w:val="0057188F"/>
    <w:rsid w:val="00572F23"/>
    <w:rsid w:val="00580D15"/>
    <w:rsid w:val="00584C62"/>
    <w:rsid w:val="005853BE"/>
    <w:rsid w:val="0058560C"/>
    <w:rsid w:val="005879E2"/>
    <w:rsid w:val="0059289F"/>
    <w:rsid w:val="00592A28"/>
    <w:rsid w:val="00597F0F"/>
    <w:rsid w:val="005A17C2"/>
    <w:rsid w:val="005A7632"/>
    <w:rsid w:val="005B74EB"/>
    <w:rsid w:val="005D1E2E"/>
    <w:rsid w:val="005D3012"/>
    <w:rsid w:val="005D72C5"/>
    <w:rsid w:val="005E1BFF"/>
    <w:rsid w:val="006053A8"/>
    <w:rsid w:val="00610E2C"/>
    <w:rsid w:val="006123CD"/>
    <w:rsid w:val="00617348"/>
    <w:rsid w:val="006202A6"/>
    <w:rsid w:val="00624D4D"/>
    <w:rsid w:val="006276D0"/>
    <w:rsid w:val="00643195"/>
    <w:rsid w:val="0065528E"/>
    <w:rsid w:val="0066059E"/>
    <w:rsid w:val="00662CC8"/>
    <w:rsid w:val="0067023A"/>
    <w:rsid w:val="0067179E"/>
    <w:rsid w:val="006768B3"/>
    <w:rsid w:val="00677077"/>
    <w:rsid w:val="00691270"/>
    <w:rsid w:val="0069156C"/>
    <w:rsid w:val="00693228"/>
    <w:rsid w:val="00693879"/>
    <w:rsid w:val="006A1B45"/>
    <w:rsid w:val="006A20AD"/>
    <w:rsid w:val="006A40D6"/>
    <w:rsid w:val="006A5D69"/>
    <w:rsid w:val="006B17EB"/>
    <w:rsid w:val="006B2E6A"/>
    <w:rsid w:val="006B488E"/>
    <w:rsid w:val="006B6D53"/>
    <w:rsid w:val="006B7C05"/>
    <w:rsid w:val="006C1298"/>
    <w:rsid w:val="006C77F5"/>
    <w:rsid w:val="006D27D4"/>
    <w:rsid w:val="006D2881"/>
    <w:rsid w:val="006D5FED"/>
    <w:rsid w:val="006E5937"/>
    <w:rsid w:val="006E7ACF"/>
    <w:rsid w:val="006F29AF"/>
    <w:rsid w:val="006F4ABC"/>
    <w:rsid w:val="006F57D3"/>
    <w:rsid w:val="0071221C"/>
    <w:rsid w:val="007125F3"/>
    <w:rsid w:val="00712A02"/>
    <w:rsid w:val="007152AA"/>
    <w:rsid w:val="00717125"/>
    <w:rsid w:val="00720082"/>
    <w:rsid w:val="00732E1E"/>
    <w:rsid w:val="00732EE6"/>
    <w:rsid w:val="00733CFB"/>
    <w:rsid w:val="0073420D"/>
    <w:rsid w:val="00734F06"/>
    <w:rsid w:val="00735A72"/>
    <w:rsid w:val="00735E89"/>
    <w:rsid w:val="00740263"/>
    <w:rsid w:val="007453C0"/>
    <w:rsid w:val="00750144"/>
    <w:rsid w:val="00754FF2"/>
    <w:rsid w:val="00755DEF"/>
    <w:rsid w:val="00766AF8"/>
    <w:rsid w:val="00772A82"/>
    <w:rsid w:val="00773A66"/>
    <w:rsid w:val="0077415B"/>
    <w:rsid w:val="007763F3"/>
    <w:rsid w:val="00781B1E"/>
    <w:rsid w:val="00785432"/>
    <w:rsid w:val="0078689C"/>
    <w:rsid w:val="00791795"/>
    <w:rsid w:val="00792AB0"/>
    <w:rsid w:val="00793FC1"/>
    <w:rsid w:val="007966D0"/>
    <w:rsid w:val="007A330B"/>
    <w:rsid w:val="007B0C62"/>
    <w:rsid w:val="007B161F"/>
    <w:rsid w:val="007B1E3F"/>
    <w:rsid w:val="007B3BBB"/>
    <w:rsid w:val="007C35CE"/>
    <w:rsid w:val="007C4A23"/>
    <w:rsid w:val="007C4BDC"/>
    <w:rsid w:val="007C6ED2"/>
    <w:rsid w:val="007D0B65"/>
    <w:rsid w:val="007D1C11"/>
    <w:rsid w:val="007D587F"/>
    <w:rsid w:val="007E2AAD"/>
    <w:rsid w:val="007E4CEB"/>
    <w:rsid w:val="007E6469"/>
    <w:rsid w:val="007E74C0"/>
    <w:rsid w:val="007F3553"/>
    <w:rsid w:val="00814150"/>
    <w:rsid w:val="0081544A"/>
    <w:rsid w:val="00817B08"/>
    <w:rsid w:val="00821C2A"/>
    <w:rsid w:val="00826B56"/>
    <w:rsid w:val="00834E10"/>
    <w:rsid w:val="00835685"/>
    <w:rsid w:val="00836C8F"/>
    <w:rsid w:val="00852A77"/>
    <w:rsid w:val="00852F46"/>
    <w:rsid w:val="00853A7A"/>
    <w:rsid w:val="00854DCF"/>
    <w:rsid w:val="00861788"/>
    <w:rsid w:val="00865094"/>
    <w:rsid w:val="008709E0"/>
    <w:rsid w:val="0087484D"/>
    <w:rsid w:val="008801E3"/>
    <w:rsid w:val="00881515"/>
    <w:rsid w:val="00881942"/>
    <w:rsid w:val="00885C94"/>
    <w:rsid w:val="00893E46"/>
    <w:rsid w:val="00895954"/>
    <w:rsid w:val="00895C7E"/>
    <w:rsid w:val="0089713D"/>
    <w:rsid w:val="008A1812"/>
    <w:rsid w:val="008A6913"/>
    <w:rsid w:val="008B306F"/>
    <w:rsid w:val="008C4660"/>
    <w:rsid w:val="008C6D84"/>
    <w:rsid w:val="008C70D2"/>
    <w:rsid w:val="008D55F2"/>
    <w:rsid w:val="008E0FD4"/>
    <w:rsid w:val="008E5C09"/>
    <w:rsid w:val="008F102A"/>
    <w:rsid w:val="008F58A5"/>
    <w:rsid w:val="009006AE"/>
    <w:rsid w:val="009016EB"/>
    <w:rsid w:val="00903631"/>
    <w:rsid w:val="00904DBB"/>
    <w:rsid w:val="00911025"/>
    <w:rsid w:val="00922137"/>
    <w:rsid w:val="009224C1"/>
    <w:rsid w:val="00924F18"/>
    <w:rsid w:val="00930CF7"/>
    <w:rsid w:val="009332EE"/>
    <w:rsid w:val="00941148"/>
    <w:rsid w:val="009503B2"/>
    <w:rsid w:val="00951FB8"/>
    <w:rsid w:val="0095319C"/>
    <w:rsid w:val="0096052C"/>
    <w:rsid w:val="00960E30"/>
    <w:rsid w:val="00962DFD"/>
    <w:rsid w:val="0096746F"/>
    <w:rsid w:val="00974400"/>
    <w:rsid w:val="00975594"/>
    <w:rsid w:val="00975925"/>
    <w:rsid w:val="009841A7"/>
    <w:rsid w:val="009855EE"/>
    <w:rsid w:val="00990AC8"/>
    <w:rsid w:val="009922F4"/>
    <w:rsid w:val="009930E3"/>
    <w:rsid w:val="00993921"/>
    <w:rsid w:val="009A0F8B"/>
    <w:rsid w:val="009A2B14"/>
    <w:rsid w:val="009B0E0F"/>
    <w:rsid w:val="009B66EF"/>
    <w:rsid w:val="009C305D"/>
    <w:rsid w:val="009C350C"/>
    <w:rsid w:val="009C7FE0"/>
    <w:rsid w:val="009E0B1F"/>
    <w:rsid w:val="009E6B63"/>
    <w:rsid w:val="009F2B34"/>
    <w:rsid w:val="009F3998"/>
    <w:rsid w:val="009F3B30"/>
    <w:rsid w:val="009F5BBD"/>
    <w:rsid w:val="009F66BE"/>
    <w:rsid w:val="00A03625"/>
    <w:rsid w:val="00A06BB7"/>
    <w:rsid w:val="00A11334"/>
    <w:rsid w:val="00A20CEC"/>
    <w:rsid w:val="00A27691"/>
    <w:rsid w:val="00A35DF4"/>
    <w:rsid w:val="00A3614C"/>
    <w:rsid w:val="00A41100"/>
    <w:rsid w:val="00A44D28"/>
    <w:rsid w:val="00A46562"/>
    <w:rsid w:val="00A46833"/>
    <w:rsid w:val="00A53F6C"/>
    <w:rsid w:val="00A6092A"/>
    <w:rsid w:val="00A644AF"/>
    <w:rsid w:val="00A64FF1"/>
    <w:rsid w:val="00A67002"/>
    <w:rsid w:val="00A67021"/>
    <w:rsid w:val="00A73341"/>
    <w:rsid w:val="00A77220"/>
    <w:rsid w:val="00A82B8F"/>
    <w:rsid w:val="00A832A5"/>
    <w:rsid w:val="00A84826"/>
    <w:rsid w:val="00A93B36"/>
    <w:rsid w:val="00A94C01"/>
    <w:rsid w:val="00AA1177"/>
    <w:rsid w:val="00AA5215"/>
    <w:rsid w:val="00AB0292"/>
    <w:rsid w:val="00AB274D"/>
    <w:rsid w:val="00AB5254"/>
    <w:rsid w:val="00AB7F63"/>
    <w:rsid w:val="00AC39B8"/>
    <w:rsid w:val="00AC56EB"/>
    <w:rsid w:val="00AC5EA1"/>
    <w:rsid w:val="00AC6FD2"/>
    <w:rsid w:val="00AC7A1E"/>
    <w:rsid w:val="00AD3D54"/>
    <w:rsid w:val="00AD5D2F"/>
    <w:rsid w:val="00AD6C0B"/>
    <w:rsid w:val="00AE2ADD"/>
    <w:rsid w:val="00AE3247"/>
    <w:rsid w:val="00AE4861"/>
    <w:rsid w:val="00AE4927"/>
    <w:rsid w:val="00AF121B"/>
    <w:rsid w:val="00AF6243"/>
    <w:rsid w:val="00AF684A"/>
    <w:rsid w:val="00B02C13"/>
    <w:rsid w:val="00B034D1"/>
    <w:rsid w:val="00B038F0"/>
    <w:rsid w:val="00B10FDF"/>
    <w:rsid w:val="00B1475A"/>
    <w:rsid w:val="00B22ACA"/>
    <w:rsid w:val="00B31802"/>
    <w:rsid w:val="00B337A8"/>
    <w:rsid w:val="00B34AA5"/>
    <w:rsid w:val="00B42C51"/>
    <w:rsid w:val="00B4496C"/>
    <w:rsid w:val="00B52EE6"/>
    <w:rsid w:val="00B54F3B"/>
    <w:rsid w:val="00B634DE"/>
    <w:rsid w:val="00B63C3B"/>
    <w:rsid w:val="00B66062"/>
    <w:rsid w:val="00B71ABB"/>
    <w:rsid w:val="00B737D7"/>
    <w:rsid w:val="00B73F39"/>
    <w:rsid w:val="00B74044"/>
    <w:rsid w:val="00B748F2"/>
    <w:rsid w:val="00B80A45"/>
    <w:rsid w:val="00B820BB"/>
    <w:rsid w:val="00B87161"/>
    <w:rsid w:val="00B90F66"/>
    <w:rsid w:val="00B94838"/>
    <w:rsid w:val="00B9519F"/>
    <w:rsid w:val="00BB04C7"/>
    <w:rsid w:val="00BB1E66"/>
    <w:rsid w:val="00BB6627"/>
    <w:rsid w:val="00BC0507"/>
    <w:rsid w:val="00BC11F2"/>
    <w:rsid w:val="00BC2E04"/>
    <w:rsid w:val="00BC3635"/>
    <w:rsid w:val="00BC3996"/>
    <w:rsid w:val="00BC7A8D"/>
    <w:rsid w:val="00BD7F87"/>
    <w:rsid w:val="00BE0B8D"/>
    <w:rsid w:val="00BE2AF9"/>
    <w:rsid w:val="00BF1246"/>
    <w:rsid w:val="00BF1A26"/>
    <w:rsid w:val="00BF2032"/>
    <w:rsid w:val="00BF5FDC"/>
    <w:rsid w:val="00BF7335"/>
    <w:rsid w:val="00C00A11"/>
    <w:rsid w:val="00C05712"/>
    <w:rsid w:val="00C1080D"/>
    <w:rsid w:val="00C13BD8"/>
    <w:rsid w:val="00C140BE"/>
    <w:rsid w:val="00C20BC3"/>
    <w:rsid w:val="00C26864"/>
    <w:rsid w:val="00C26FFD"/>
    <w:rsid w:val="00C27472"/>
    <w:rsid w:val="00C3290A"/>
    <w:rsid w:val="00C34258"/>
    <w:rsid w:val="00C36C83"/>
    <w:rsid w:val="00C40301"/>
    <w:rsid w:val="00C403B3"/>
    <w:rsid w:val="00C420E4"/>
    <w:rsid w:val="00C5377C"/>
    <w:rsid w:val="00C56A4A"/>
    <w:rsid w:val="00C630A0"/>
    <w:rsid w:val="00C63697"/>
    <w:rsid w:val="00C63C19"/>
    <w:rsid w:val="00C65C6E"/>
    <w:rsid w:val="00C716BE"/>
    <w:rsid w:val="00C7329E"/>
    <w:rsid w:val="00C75266"/>
    <w:rsid w:val="00C8463A"/>
    <w:rsid w:val="00C95CD8"/>
    <w:rsid w:val="00CA37FE"/>
    <w:rsid w:val="00CA6A3B"/>
    <w:rsid w:val="00CA7680"/>
    <w:rsid w:val="00CB0B65"/>
    <w:rsid w:val="00CB3A6F"/>
    <w:rsid w:val="00CB3E12"/>
    <w:rsid w:val="00CB62C7"/>
    <w:rsid w:val="00CC1343"/>
    <w:rsid w:val="00CC142E"/>
    <w:rsid w:val="00CD38D7"/>
    <w:rsid w:val="00CE0E85"/>
    <w:rsid w:val="00CE20C5"/>
    <w:rsid w:val="00CE2817"/>
    <w:rsid w:val="00CE3CAA"/>
    <w:rsid w:val="00CE4BDD"/>
    <w:rsid w:val="00CF01C0"/>
    <w:rsid w:val="00CF1B6F"/>
    <w:rsid w:val="00CF2811"/>
    <w:rsid w:val="00CF54E2"/>
    <w:rsid w:val="00CF634B"/>
    <w:rsid w:val="00D0077B"/>
    <w:rsid w:val="00D03CB1"/>
    <w:rsid w:val="00D0625B"/>
    <w:rsid w:val="00D21628"/>
    <w:rsid w:val="00D261DE"/>
    <w:rsid w:val="00D30D2C"/>
    <w:rsid w:val="00D31DF8"/>
    <w:rsid w:val="00D328FB"/>
    <w:rsid w:val="00D33809"/>
    <w:rsid w:val="00D3647C"/>
    <w:rsid w:val="00D36664"/>
    <w:rsid w:val="00D40593"/>
    <w:rsid w:val="00D41CA0"/>
    <w:rsid w:val="00D45649"/>
    <w:rsid w:val="00D478EF"/>
    <w:rsid w:val="00D512D7"/>
    <w:rsid w:val="00D514E0"/>
    <w:rsid w:val="00D53E02"/>
    <w:rsid w:val="00D54ACA"/>
    <w:rsid w:val="00D55945"/>
    <w:rsid w:val="00D56478"/>
    <w:rsid w:val="00D56725"/>
    <w:rsid w:val="00D56824"/>
    <w:rsid w:val="00D57D6E"/>
    <w:rsid w:val="00D6214A"/>
    <w:rsid w:val="00D62CF0"/>
    <w:rsid w:val="00D65228"/>
    <w:rsid w:val="00D738F6"/>
    <w:rsid w:val="00D73ABA"/>
    <w:rsid w:val="00D74EDF"/>
    <w:rsid w:val="00D7560C"/>
    <w:rsid w:val="00D76662"/>
    <w:rsid w:val="00D7718F"/>
    <w:rsid w:val="00D823D7"/>
    <w:rsid w:val="00D85A62"/>
    <w:rsid w:val="00D86483"/>
    <w:rsid w:val="00D87B09"/>
    <w:rsid w:val="00DA4D6A"/>
    <w:rsid w:val="00DB0B4D"/>
    <w:rsid w:val="00DB371D"/>
    <w:rsid w:val="00DB4434"/>
    <w:rsid w:val="00DC3C88"/>
    <w:rsid w:val="00DC531D"/>
    <w:rsid w:val="00DC6AA0"/>
    <w:rsid w:val="00DD0CFA"/>
    <w:rsid w:val="00DD3874"/>
    <w:rsid w:val="00DD45FA"/>
    <w:rsid w:val="00DD6B20"/>
    <w:rsid w:val="00DE2B4B"/>
    <w:rsid w:val="00DE444F"/>
    <w:rsid w:val="00DE5FCB"/>
    <w:rsid w:val="00DE7E2E"/>
    <w:rsid w:val="00DF307A"/>
    <w:rsid w:val="00DF32D5"/>
    <w:rsid w:val="00E06725"/>
    <w:rsid w:val="00E1221D"/>
    <w:rsid w:val="00E13BD6"/>
    <w:rsid w:val="00E154D7"/>
    <w:rsid w:val="00E17067"/>
    <w:rsid w:val="00E20D6C"/>
    <w:rsid w:val="00E22226"/>
    <w:rsid w:val="00E24BF2"/>
    <w:rsid w:val="00E32625"/>
    <w:rsid w:val="00E3512D"/>
    <w:rsid w:val="00E4503D"/>
    <w:rsid w:val="00E5000F"/>
    <w:rsid w:val="00E5009D"/>
    <w:rsid w:val="00E51699"/>
    <w:rsid w:val="00E51FB5"/>
    <w:rsid w:val="00E54479"/>
    <w:rsid w:val="00E64227"/>
    <w:rsid w:val="00E7318D"/>
    <w:rsid w:val="00E76B3F"/>
    <w:rsid w:val="00E86376"/>
    <w:rsid w:val="00E87F6A"/>
    <w:rsid w:val="00EA0513"/>
    <w:rsid w:val="00EA55D1"/>
    <w:rsid w:val="00EA6366"/>
    <w:rsid w:val="00EA6C99"/>
    <w:rsid w:val="00EB749E"/>
    <w:rsid w:val="00EC2734"/>
    <w:rsid w:val="00EC4F10"/>
    <w:rsid w:val="00EC54BF"/>
    <w:rsid w:val="00EC7AA3"/>
    <w:rsid w:val="00ED6AEF"/>
    <w:rsid w:val="00EE14A0"/>
    <w:rsid w:val="00EF19C9"/>
    <w:rsid w:val="00EF4244"/>
    <w:rsid w:val="00F00B47"/>
    <w:rsid w:val="00F15FAF"/>
    <w:rsid w:val="00F17769"/>
    <w:rsid w:val="00F229AE"/>
    <w:rsid w:val="00F22D64"/>
    <w:rsid w:val="00F24673"/>
    <w:rsid w:val="00F248E7"/>
    <w:rsid w:val="00F270FA"/>
    <w:rsid w:val="00F36ED4"/>
    <w:rsid w:val="00F4197F"/>
    <w:rsid w:val="00F513E1"/>
    <w:rsid w:val="00F53F96"/>
    <w:rsid w:val="00F55314"/>
    <w:rsid w:val="00F57BA7"/>
    <w:rsid w:val="00F66418"/>
    <w:rsid w:val="00F702DD"/>
    <w:rsid w:val="00F71CB8"/>
    <w:rsid w:val="00F71D9C"/>
    <w:rsid w:val="00F7311C"/>
    <w:rsid w:val="00F73C5D"/>
    <w:rsid w:val="00F762E3"/>
    <w:rsid w:val="00F80FF8"/>
    <w:rsid w:val="00F842B2"/>
    <w:rsid w:val="00F844A2"/>
    <w:rsid w:val="00F86179"/>
    <w:rsid w:val="00F96866"/>
    <w:rsid w:val="00F9776D"/>
    <w:rsid w:val="00FA04FA"/>
    <w:rsid w:val="00FA2841"/>
    <w:rsid w:val="00FB43D1"/>
    <w:rsid w:val="00FC1680"/>
    <w:rsid w:val="00FC26FE"/>
    <w:rsid w:val="00FC4176"/>
    <w:rsid w:val="00FC6AFE"/>
    <w:rsid w:val="00FD38CD"/>
    <w:rsid w:val="00FD4282"/>
    <w:rsid w:val="00FD5EB4"/>
    <w:rsid w:val="00FF066E"/>
    <w:rsid w:val="00FF1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E390"/>
  <w15:chartTrackingRefBased/>
  <w15:docId w15:val="{89BE73AF-D4CF-489F-9205-4D9BD345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17F"/>
    <w:rPr>
      <w:color w:val="0563C1" w:themeColor="hyperlink"/>
      <w:u w:val="single"/>
    </w:rPr>
  </w:style>
  <w:style w:type="table" w:styleId="TableGrid">
    <w:name w:val="Table Grid"/>
    <w:basedOn w:val="TableNormal"/>
    <w:uiPriority w:val="39"/>
    <w:rsid w:val="000F017F"/>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8EF"/>
    <w:pPr>
      <w:ind w:left="720"/>
      <w:contextualSpacing/>
    </w:pPr>
  </w:style>
  <w:style w:type="paragraph" w:styleId="NormalWeb">
    <w:name w:val="Normal (Web)"/>
    <w:basedOn w:val="Normal"/>
    <w:uiPriority w:val="99"/>
    <w:unhideWhenUsed/>
    <w:rsid w:val="00B73F39"/>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paragraph" w:styleId="Header">
    <w:name w:val="header"/>
    <w:basedOn w:val="Normal"/>
    <w:link w:val="HeaderChar"/>
    <w:uiPriority w:val="99"/>
    <w:unhideWhenUsed/>
    <w:rsid w:val="005D3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012"/>
  </w:style>
  <w:style w:type="paragraph" w:styleId="Footer">
    <w:name w:val="footer"/>
    <w:basedOn w:val="Normal"/>
    <w:link w:val="FooterChar"/>
    <w:uiPriority w:val="99"/>
    <w:unhideWhenUsed/>
    <w:rsid w:val="005D3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012"/>
  </w:style>
  <w:style w:type="character" w:styleId="CommentReference">
    <w:name w:val="annotation reference"/>
    <w:basedOn w:val="DefaultParagraphFont"/>
    <w:uiPriority w:val="99"/>
    <w:semiHidden/>
    <w:unhideWhenUsed/>
    <w:rsid w:val="00B74044"/>
    <w:rPr>
      <w:sz w:val="16"/>
      <w:szCs w:val="16"/>
    </w:rPr>
  </w:style>
  <w:style w:type="paragraph" w:styleId="CommentText">
    <w:name w:val="annotation text"/>
    <w:basedOn w:val="Normal"/>
    <w:link w:val="CommentTextChar"/>
    <w:uiPriority w:val="99"/>
    <w:semiHidden/>
    <w:unhideWhenUsed/>
    <w:rsid w:val="00B74044"/>
    <w:pPr>
      <w:spacing w:line="240" w:lineRule="auto"/>
    </w:pPr>
    <w:rPr>
      <w:sz w:val="20"/>
      <w:szCs w:val="20"/>
    </w:rPr>
  </w:style>
  <w:style w:type="character" w:customStyle="1" w:styleId="CommentTextChar">
    <w:name w:val="Comment Text Char"/>
    <w:basedOn w:val="DefaultParagraphFont"/>
    <w:link w:val="CommentText"/>
    <w:uiPriority w:val="99"/>
    <w:semiHidden/>
    <w:rsid w:val="00B74044"/>
    <w:rPr>
      <w:sz w:val="20"/>
      <w:szCs w:val="20"/>
    </w:rPr>
  </w:style>
  <w:style w:type="paragraph" w:styleId="CommentSubject">
    <w:name w:val="annotation subject"/>
    <w:basedOn w:val="CommentText"/>
    <w:next w:val="CommentText"/>
    <w:link w:val="CommentSubjectChar"/>
    <w:uiPriority w:val="99"/>
    <w:semiHidden/>
    <w:unhideWhenUsed/>
    <w:rsid w:val="00B74044"/>
    <w:rPr>
      <w:b/>
      <w:bCs/>
    </w:rPr>
  </w:style>
  <w:style w:type="character" w:customStyle="1" w:styleId="CommentSubjectChar">
    <w:name w:val="Comment Subject Char"/>
    <w:basedOn w:val="CommentTextChar"/>
    <w:link w:val="CommentSubject"/>
    <w:uiPriority w:val="99"/>
    <w:semiHidden/>
    <w:rsid w:val="00B74044"/>
    <w:rPr>
      <w:b/>
      <w:bCs/>
      <w:sz w:val="20"/>
      <w:szCs w:val="20"/>
    </w:rPr>
  </w:style>
  <w:style w:type="paragraph" w:styleId="BalloonText">
    <w:name w:val="Balloon Text"/>
    <w:basedOn w:val="Normal"/>
    <w:link w:val="BalloonTextChar"/>
    <w:uiPriority w:val="99"/>
    <w:semiHidden/>
    <w:unhideWhenUsed/>
    <w:rsid w:val="00B7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44"/>
    <w:rPr>
      <w:rFonts w:ascii="Segoe UI" w:hAnsi="Segoe UI" w:cs="Segoe UI"/>
      <w:sz w:val="18"/>
      <w:szCs w:val="18"/>
    </w:rPr>
  </w:style>
  <w:style w:type="paragraph" w:styleId="NoSpacing">
    <w:name w:val="No Spacing"/>
    <w:uiPriority w:val="1"/>
    <w:qFormat/>
    <w:rsid w:val="00F71D9C"/>
    <w:pPr>
      <w:spacing w:after="0" w:line="240" w:lineRule="auto"/>
    </w:pPr>
  </w:style>
  <w:style w:type="paragraph" w:styleId="HTMLPreformatted">
    <w:name w:val="HTML Preformatted"/>
    <w:basedOn w:val="Normal"/>
    <w:link w:val="HTMLPreformattedChar"/>
    <w:uiPriority w:val="99"/>
    <w:semiHidden/>
    <w:unhideWhenUsed/>
    <w:rsid w:val="00D8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D87B09"/>
    <w:rPr>
      <w:rFonts w:ascii="Courier New" w:eastAsia="Times New Roman" w:hAnsi="Courier New" w:cs="Courier New"/>
      <w:sz w:val="20"/>
      <w:szCs w:val="20"/>
      <w:lang w:val="en-MY" w:eastAsia="en-MY"/>
    </w:rPr>
  </w:style>
  <w:style w:type="character" w:customStyle="1" w:styleId="y2iqfc">
    <w:name w:val="y2iqfc"/>
    <w:basedOn w:val="DefaultParagraphFont"/>
    <w:rsid w:val="00D8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9034">
      <w:bodyDiv w:val="1"/>
      <w:marLeft w:val="0"/>
      <w:marRight w:val="0"/>
      <w:marTop w:val="0"/>
      <w:marBottom w:val="0"/>
      <w:divBdr>
        <w:top w:val="none" w:sz="0" w:space="0" w:color="auto"/>
        <w:left w:val="none" w:sz="0" w:space="0" w:color="auto"/>
        <w:bottom w:val="none" w:sz="0" w:space="0" w:color="auto"/>
        <w:right w:val="none" w:sz="0" w:space="0" w:color="auto"/>
      </w:divBdr>
      <w:divsChild>
        <w:div w:id="1599830892">
          <w:marLeft w:val="0"/>
          <w:marRight w:val="0"/>
          <w:marTop w:val="0"/>
          <w:marBottom w:val="0"/>
          <w:divBdr>
            <w:top w:val="none" w:sz="0" w:space="0" w:color="auto"/>
            <w:left w:val="none" w:sz="0" w:space="0" w:color="auto"/>
            <w:bottom w:val="none" w:sz="0" w:space="0" w:color="auto"/>
            <w:right w:val="none" w:sz="0" w:space="0" w:color="auto"/>
          </w:divBdr>
          <w:divsChild>
            <w:div w:id="1552499489">
              <w:marLeft w:val="0"/>
              <w:marRight w:val="0"/>
              <w:marTop w:val="0"/>
              <w:marBottom w:val="0"/>
              <w:divBdr>
                <w:top w:val="none" w:sz="0" w:space="0" w:color="auto"/>
                <w:left w:val="none" w:sz="0" w:space="0" w:color="auto"/>
                <w:bottom w:val="none" w:sz="0" w:space="0" w:color="auto"/>
                <w:right w:val="none" w:sz="0" w:space="0" w:color="auto"/>
              </w:divBdr>
            </w:div>
          </w:divsChild>
        </w:div>
        <w:div w:id="963122640">
          <w:marLeft w:val="0"/>
          <w:marRight w:val="0"/>
          <w:marTop w:val="0"/>
          <w:marBottom w:val="0"/>
          <w:divBdr>
            <w:top w:val="none" w:sz="0" w:space="0" w:color="auto"/>
            <w:left w:val="none" w:sz="0" w:space="0" w:color="auto"/>
            <w:bottom w:val="none" w:sz="0" w:space="0" w:color="auto"/>
            <w:right w:val="none" w:sz="0" w:space="0" w:color="auto"/>
          </w:divBdr>
          <w:divsChild>
            <w:div w:id="1303929441">
              <w:marLeft w:val="0"/>
              <w:marRight w:val="0"/>
              <w:marTop w:val="0"/>
              <w:marBottom w:val="0"/>
              <w:divBdr>
                <w:top w:val="none" w:sz="0" w:space="0" w:color="auto"/>
                <w:left w:val="none" w:sz="0" w:space="0" w:color="auto"/>
                <w:bottom w:val="none" w:sz="0" w:space="0" w:color="auto"/>
                <w:right w:val="none" w:sz="0" w:space="0" w:color="auto"/>
              </w:divBdr>
              <w:divsChild>
                <w:div w:id="451478523">
                  <w:marLeft w:val="0"/>
                  <w:marRight w:val="0"/>
                  <w:marTop w:val="0"/>
                  <w:marBottom w:val="0"/>
                  <w:divBdr>
                    <w:top w:val="none" w:sz="0" w:space="0" w:color="auto"/>
                    <w:left w:val="none" w:sz="0" w:space="0" w:color="auto"/>
                    <w:bottom w:val="none" w:sz="0" w:space="0" w:color="auto"/>
                    <w:right w:val="none" w:sz="0" w:space="0" w:color="auto"/>
                  </w:divBdr>
                  <w:divsChild>
                    <w:div w:id="1467695710">
                      <w:marLeft w:val="0"/>
                      <w:marRight w:val="0"/>
                      <w:marTop w:val="0"/>
                      <w:marBottom w:val="0"/>
                      <w:divBdr>
                        <w:top w:val="none" w:sz="0" w:space="0" w:color="auto"/>
                        <w:left w:val="none" w:sz="0" w:space="0" w:color="auto"/>
                        <w:bottom w:val="none" w:sz="0" w:space="0" w:color="auto"/>
                        <w:right w:val="none" w:sz="0" w:space="0" w:color="auto"/>
                      </w:divBdr>
                      <w:divsChild>
                        <w:div w:id="591209106">
                          <w:marLeft w:val="0"/>
                          <w:marRight w:val="0"/>
                          <w:marTop w:val="0"/>
                          <w:marBottom w:val="0"/>
                          <w:divBdr>
                            <w:top w:val="none" w:sz="0" w:space="0" w:color="auto"/>
                            <w:left w:val="none" w:sz="0" w:space="0" w:color="auto"/>
                            <w:bottom w:val="none" w:sz="0" w:space="0" w:color="auto"/>
                            <w:right w:val="none" w:sz="0" w:space="0" w:color="auto"/>
                          </w:divBdr>
                          <w:divsChild>
                            <w:div w:id="424303800">
                              <w:marLeft w:val="0"/>
                              <w:marRight w:val="0"/>
                              <w:marTop w:val="0"/>
                              <w:marBottom w:val="0"/>
                              <w:divBdr>
                                <w:top w:val="none" w:sz="0" w:space="0" w:color="auto"/>
                                <w:left w:val="none" w:sz="0" w:space="0" w:color="auto"/>
                                <w:bottom w:val="none" w:sz="0" w:space="0" w:color="auto"/>
                                <w:right w:val="none" w:sz="0" w:space="0" w:color="auto"/>
                              </w:divBdr>
                              <w:divsChild>
                                <w:div w:id="2623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054230">
          <w:marLeft w:val="0"/>
          <w:marRight w:val="0"/>
          <w:marTop w:val="0"/>
          <w:marBottom w:val="0"/>
          <w:divBdr>
            <w:top w:val="none" w:sz="0" w:space="0" w:color="auto"/>
            <w:left w:val="none" w:sz="0" w:space="0" w:color="auto"/>
            <w:bottom w:val="none" w:sz="0" w:space="0" w:color="auto"/>
            <w:right w:val="none" w:sz="0" w:space="0" w:color="auto"/>
          </w:divBdr>
        </w:div>
      </w:divsChild>
    </w:div>
    <w:div w:id="737898822">
      <w:bodyDiv w:val="1"/>
      <w:marLeft w:val="0"/>
      <w:marRight w:val="0"/>
      <w:marTop w:val="0"/>
      <w:marBottom w:val="0"/>
      <w:divBdr>
        <w:top w:val="none" w:sz="0" w:space="0" w:color="auto"/>
        <w:left w:val="none" w:sz="0" w:space="0" w:color="auto"/>
        <w:bottom w:val="none" w:sz="0" w:space="0" w:color="auto"/>
        <w:right w:val="none" w:sz="0" w:space="0" w:color="auto"/>
      </w:divBdr>
    </w:div>
    <w:div w:id="1458337475">
      <w:bodyDiv w:val="1"/>
      <w:marLeft w:val="0"/>
      <w:marRight w:val="0"/>
      <w:marTop w:val="0"/>
      <w:marBottom w:val="0"/>
      <w:divBdr>
        <w:top w:val="none" w:sz="0" w:space="0" w:color="auto"/>
        <w:left w:val="none" w:sz="0" w:space="0" w:color="auto"/>
        <w:bottom w:val="none" w:sz="0" w:space="0" w:color="auto"/>
        <w:right w:val="none" w:sz="0" w:space="0" w:color="auto"/>
      </w:divBdr>
      <w:divsChild>
        <w:div w:id="364717552">
          <w:marLeft w:val="0"/>
          <w:marRight w:val="0"/>
          <w:marTop w:val="0"/>
          <w:marBottom w:val="0"/>
          <w:divBdr>
            <w:top w:val="none" w:sz="0" w:space="0" w:color="auto"/>
            <w:left w:val="none" w:sz="0" w:space="0" w:color="auto"/>
            <w:bottom w:val="none" w:sz="0" w:space="0" w:color="auto"/>
            <w:right w:val="none" w:sz="0" w:space="0" w:color="auto"/>
          </w:divBdr>
          <w:divsChild>
            <w:div w:id="712735323">
              <w:marLeft w:val="0"/>
              <w:marRight w:val="0"/>
              <w:marTop w:val="0"/>
              <w:marBottom w:val="0"/>
              <w:divBdr>
                <w:top w:val="none" w:sz="0" w:space="0" w:color="auto"/>
                <w:left w:val="none" w:sz="0" w:space="0" w:color="auto"/>
                <w:bottom w:val="none" w:sz="0" w:space="0" w:color="auto"/>
                <w:right w:val="none" w:sz="0" w:space="0" w:color="auto"/>
              </w:divBdr>
            </w:div>
          </w:divsChild>
        </w:div>
        <w:div w:id="8148455">
          <w:marLeft w:val="0"/>
          <w:marRight w:val="0"/>
          <w:marTop w:val="0"/>
          <w:marBottom w:val="0"/>
          <w:divBdr>
            <w:top w:val="none" w:sz="0" w:space="0" w:color="auto"/>
            <w:left w:val="none" w:sz="0" w:space="0" w:color="auto"/>
            <w:bottom w:val="none" w:sz="0" w:space="0" w:color="auto"/>
            <w:right w:val="none" w:sz="0" w:space="0" w:color="auto"/>
          </w:divBdr>
          <w:divsChild>
            <w:div w:id="332494666">
              <w:marLeft w:val="0"/>
              <w:marRight w:val="0"/>
              <w:marTop w:val="0"/>
              <w:marBottom w:val="0"/>
              <w:divBdr>
                <w:top w:val="none" w:sz="0" w:space="0" w:color="auto"/>
                <w:left w:val="none" w:sz="0" w:space="0" w:color="auto"/>
                <w:bottom w:val="none" w:sz="0" w:space="0" w:color="auto"/>
                <w:right w:val="none" w:sz="0" w:space="0" w:color="auto"/>
              </w:divBdr>
              <w:divsChild>
                <w:div w:id="558174750">
                  <w:marLeft w:val="0"/>
                  <w:marRight w:val="0"/>
                  <w:marTop w:val="0"/>
                  <w:marBottom w:val="0"/>
                  <w:divBdr>
                    <w:top w:val="none" w:sz="0" w:space="0" w:color="auto"/>
                    <w:left w:val="none" w:sz="0" w:space="0" w:color="auto"/>
                    <w:bottom w:val="none" w:sz="0" w:space="0" w:color="auto"/>
                    <w:right w:val="none" w:sz="0" w:space="0" w:color="auto"/>
                  </w:divBdr>
                  <w:divsChild>
                    <w:div w:id="1573810245">
                      <w:marLeft w:val="0"/>
                      <w:marRight w:val="0"/>
                      <w:marTop w:val="0"/>
                      <w:marBottom w:val="0"/>
                      <w:divBdr>
                        <w:top w:val="none" w:sz="0" w:space="0" w:color="auto"/>
                        <w:left w:val="none" w:sz="0" w:space="0" w:color="auto"/>
                        <w:bottom w:val="none" w:sz="0" w:space="0" w:color="auto"/>
                        <w:right w:val="none" w:sz="0" w:space="0" w:color="auto"/>
                      </w:divBdr>
                      <w:divsChild>
                        <w:div w:id="685327994">
                          <w:marLeft w:val="0"/>
                          <w:marRight w:val="0"/>
                          <w:marTop w:val="0"/>
                          <w:marBottom w:val="0"/>
                          <w:divBdr>
                            <w:top w:val="none" w:sz="0" w:space="0" w:color="auto"/>
                            <w:left w:val="none" w:sz="0" w:space="0" w:color="auto"/>
                            <w:bottom w:val="none" w:sz="0" w:space="0" w:color="auto"/>
                            <w:right w:val="none" w:sz="0" w:space="0" w:color="auto"/>
                          </w:divBdr>
                          <w:divsChild>
                            <w:div w:id="1835291468">
                              <w:marLeft w:val="0"/>
                              <w:marRight w:val="0"/>
                              <w:marTop w:val="0"/>
                              <w:marBottom w:val="0"/>
                              <w:divBdr>
                                <w:top w:val="none" w:sz="0" w:space="0" w:color="auto"/>
                                <w:left w:val="none" w:sz="0" w:space="0" w:color="auto"/>
                                <w:bottom w:val="none" w:sz="0" w:space="0" w:color="auto"/>
                                <w:right w:val="none" w:sz="0" w:space="0" w:color="auto"/>
                              </w:divBdr>
                              <w:divsChild>
                                <w:div w:id="763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74831">
          <w:marLeft w:val="0"/>
          <w:marRight w:val="0"/>
          <w:marTop w:val="0"/>
          <w:marBottom w:val="0"/>
          <w:divBdr>
            <w:top w:val="none" w:sz="0" w:space="0" w:color="auto"/>
            <w:left w:val="none" w:sz="0" w:space="0" w:color="auto"/>
            <w:bottom w:val="none" w:sz="0" w:space="0" w:color="auto"/>
            <w:right w:val="none" w:sz="0" w:space="0" w:color="auto"/>
          </w:divBdr>
        </w:div>
      </w:divsChild>
    </w:div>
    <w:div w:id="15440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F84D-FCE6-4871-82E5-B6ACB5FB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Prince Zoul</cp:lastModifiedBy>
  <cp:revision>2</cp:revision>
  <cp:lastPrinted>2022-03-28T00:55:00Z</cp:lastPrinted>
  <dcterms:created xsi:type="dcterms:W3CDTF">2022-04-01T08:58:00Z</dcterms:created>
  <dcterms:modified xsi:type="dcterms:W3CDTF">2022-04-01T08:58:00Z</dcterms:modified>
</cp:coreProperties>
</file>